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9C" w:rsidRDefault="00124A9C" w:rsidP="00124A9C">
      <w:pPr>
        <w:spacing w:line="300" w:lineRule="auto"/>
        <w:ind w:firstLineChars="200" w:firstLine="643"/>
        <w:jc w:val="center"/>
        <w:rPr>
          <w:rFonts w:asciiTheme="minorEastAsia" w:hAnsiTheme="minorEastAsia"/>
          <w:b/>
          <w:sz w:val="32"/>
          <w:szCs w:val="32"/>
        </w:rPr>
      </w:pPr>
    </w:p>
    <w:p w:rsidR="00124A9C" w:rsidRDefault="00124A9C" w:rsidP="00124A9C">
      <w:pPr>
        <w:spacing w:line="300" w:lineRule="auto"/>
        <w:ind w:firstLineChars="200" w:firstLine="643"/>
        <w:jc w:val="center"/>
        <w:rPr>
          <w:rFonts w:asciiTheme="minorEastAsia" w:hAnsiTheme="minorEastAsia"/>
          <w:b/>
          <w:sz w:val="32"/>
          <w:szCs w:val="32"/>
        </w:rPr>
      </w:pPr>
    </w:p>
    <w:p w:rsidR="00124A9C" w:rsidRDefault="00AA532C" w:rsidP="00AA532C">
      <w:pPr>
        <w:spacing w:line="300" w:lineRule="auto"/>
        <w:ind w:firstLineChars="200" w:firstLine="420"/>
        <w:jc w:val="left"/>
        <w:rPr>
          <w:rFonts w:asciiTheme="minorEastAsia" w:hAnsiTheme="minorEastAsia"/>
          <w:b/>
          <w:sz w:val="32"/>
          <w:szCs w:val="32"/>
        </w:rPr>
      </w:pPr>
      <w:r>
        <w:rPr>
          <w:noProof/>
        </w:rPr>
        <w:drawing>
          <wp:inline distT="0" distB="0" distL="0" distR="0">
            <wp:extent cx="1971675" cy="358946"/>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71430" cy="358901"/>
                    </a:xfrm>
                    <a:prstGeom prst="rect">
                      <a:avLst/>
                    </a:prstGeom>
                  </pic:spPr>
                </pic:pic>
              </a:graphicData>
            </a:graphic>
          </wp:inline>
        </w:drawing>
      </w:r>
    </w:p>
    <w:p w:rsidR="00124A9C" w:rsidRDefault="00124A9C" w:rsidP="00124A9C">
      <w:pPr>
        <w:spacing w:line="300" w:lineRule="auto"/>
        <w:ind w:firstLineChars="200" w:firstLine="643"/>
        <w:jc w:val="center"/>
        <w:rPr>
          <w:rFonts w:asciiTheme="minorEastAsia" w:hAnsiTheme="minorEastAsia"/>
          <w:b/>
          <w:sz w:val="32"/>
          <w:szCs w:val="32"/>
        </w:rPr>
      </w:pPr>
    </w:p>
    <w:p w:rsidR="004D4C14" w:rsidRDefault="004D4C14" w:rsidP="00124A9C">
      <w:pPr>
        <w:spacing w:line="300" w:lineRule="auto"/>
        <w:ind w:firstLineChars="200" w:firstLine="643"/>
        <w:jc w:val="center"/>
        <w:rPr>
          <w:rFonts w:asciiTheme="minorEastAsia" w:hAnsiTheme="minorEastAsia"/>
          <w:b/>
          <w:sz w:val="32"/>
          <w:szCs w:val="32"/>
        </w:rPr>
      </w:pPr>
    </w:p>
    <w:p w:rsidR="004D4C14" w:rsidRDefault="004D4C14" w:rsidP="00124A9C">
      <w:pPr>
        <w:spacing w:line="300" w:lineRule="auto"/>
        <w:ind w:firstLineChars="200" w:firstLine="643"/>
        <w:jc w:val="center"/>
        <w:rPr>
          <w:rFonts w:asciiTheme="minorEastAsia" w:hAnsiTheme="minorEastAsia"/>
          <w:b/>
          <w:sz w:val="32"/>
          <w:szCs w:val="32"/>
        </w:rPr>
      </w:pPr>
    </w:p>
    <w:p w:rsidR="004D4C14" w:rsidRDefault="004D4C14" w:rsidP="00124A9C">
      <w:pPr>
        <w:spacing w:line="300" w:lineRule="auto"/>
        <w:ind w:firstLineChars="200" w:firstLine="643"/>
        <w:jc w:val="center"/>
        <w:rPr>
          <w:rFonts w:asciiTheme="minorEastAsia" w:hAnsiTheme="minorEastAsia"/>
          <w:b/>
          <w:sz w:val="32"/>
          <w:szCs w:val="32"/>
        </w:rPr>
      </w:pPr>
    </w:p>
    <w:p w:rsidR="00124A9C" w:rsidRPr="004D4C14" w:rsidRDefault="00124A9C" w:rsidP="004D4C14">
      <w:pPr>
        <w:spacing w:line="300" w:lineRule="auto"/>
        <w:ind w:firstLineChars="200" w:firstLine="960"/>
        <w:jc w:val="right"/>
        <w:rPr>
          <w:rFonts w:ascii="微软雅黑" w:eastAsia="微软雅黑" w:hAnsi="微软雅黑"/>
          <w:b/>
          <w:sz w:val="48"/>
          <w:szCs w:val="44"/>
        </w:rPr>
      </w:pPr>
      <w:r w:rsidRPr="004D4C14">
        <w:rPr>
          <w:rFonts w:ascii="微软雅黑" w:eastAsia="微软雅黑" w:hAnsi="微软雅黑" w:hint="eastAsia"/>
          <w:b/>
          <w:sz w:val="48"/>
          <w:szCs w:val="44"/>
        </w:rPr>
        <w:t>利民</w:t>
      </w:r>
      <w:r w:rsidRPr="004D4C14">
        <w:rPr>
          <w:rFonts w:ascii="微软雅黑" w:eastAsia="微软雅黑" w:hAnsi="微软雅黑"/>
          <w:b/>
          <w:sz w:val="48"/>
          <w:szCs w:val="44"/>
        </w:rPr>
        <w:t>化工股份有限公司</w:t>
      </w:r>
    </w:p>
    <w:p w:rsidR="00124A9C" w:rsidRPr="00124A9C" w:rsidRDefault="00AA532C" w:rsidP="004D4C14">
      <w:pPr>
        <w:spacing w:line="300" w:lineRule="auto"/>
        <w:ind w:firstLineChars="200" w:firstLine="883"/>
        <w:jc w:val="right"/>
        <w:rPr>
          <w:rFonts w:ascii="黑体" w:eastAsia="黑体" w:hAnsi="黑体"/>
          <w:sz w:val="44"/>
          <w:szCs w:val="44"/>
        </w:rPr>
      </w:pPr>
      <w:bookmarkStart w:id="0" w:name="_GoBack"/>
      <w:bookmarkEnd w:id="0"/>
      <w:r w:rsidRPr="004D4C14">
        <w:rPr>
          <w:rFonts w:ascii="Times New Roman" w:eastAsia="黑体" w:hAnsi="Times New Roman" w:cs="Times New Roman"/>
          <w:b/>
          <w:sz w:val="44"/>
          <w:szCs w:val="44"/>
        </w:rPr>
        <w:t>2015</w:t>
      </w:r>
      <w:r w:rsidRPr="004D4C14">
        <w:rPr>
          <w:rFonts w:ascii="Times New Roman" w:eastAsia="黑体" w:hAnsi="Times New Roman" w:cs="Times New Roman"/>
          <w:b/>
          <w:sz w:val="44"/>
          <w:szCs w:val="44"/>
        </w:rPr>
        <w:t>年度</w:t>
      </w:r>
      <w:r w:rsidR="00124A9C" w:rsidRPr="00124A9C">
        <w:rPr>
          <w:rFonts w:ascii="黑体" w:eastAsia="黑体" w:hAnsi="黑体" w:hint="eastAsia"/>
          <w:sz w:val="44"/>
          <w:szCs w:val="44"/>
        </w:rPr>
        <w:t>社会</w:t>
      </w:r>
      <w:r w:rsidR="00124A9C" w:rsidRPr="00124A9C">
        <w:rPr>
          <w:rFonts w:ascii="黑体" w:eastAsia="黑体" w:hAnsi="黑体"/>
          <w:sz w:val="44"/>
          <w:szCs w:val="44"/>
        </w:rPr>
        <w:t>责任报告</w:t>
      </w:r>
    </w:p>
    <w:p w:rsidR="00124A9C" w:rsidRPr="00124A9C" w:rsidRDefault="00124A9C" w:rsidP="00124A9C">
      <w:pPr>
        <w:spacing w:line="300" w:lineRule="auto"/>
        <w:ind w:firstLineChars="200" w:firstLine="720"/>
        <w:jc w:val="center"/>
        <w:rPr>
          <w:rFonts w:asciiTheme="minorEastAsia" w:hAnsiTheme="minorEastAsia"/>
          <w:sz w:val="36"/>
          <w:szCs w:val="36"/>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420"/>
        <w:jc w:val="center"/>
        <w:rPr>
          <w:rFonts w:asciiTheme="minorEastAsia" w:hAnsiTheme="minorEastAsia"/>
          <w:szCs w:val="21"/>
        </w:rPr>
      </w:pPr>
    </w:p>
    <w:p w:rsidR="00124A9C" w:rsidRDefault="00124A9C" w:rsidP="00124A9C">
      <w:pPr>
        <w:spacing w:line="300" w:lineRule="auto"/>
        <w:ind w:firstLineChars="200" w:firstLine="420"/>
        <w:jc w:val="center"/>
        <w:rPr>
          <w:rFonts w:asciiTheme="minorEastAsia" w:hAnsiTheme="minorEastAsia"/>
          <w:szCs w:val="21"/>
        </w:rPr>
      </w:pPr>
    </w:p>
    <w:p w:rsidR="00AA532C" w:rsidRDefault="00AA532C">
      <w:pPr>
        <w:widowControl/>
        <w:jc w:val="left"/>
        <w:rPr>
          <w:rFonts w:asciiTheme="minorEastAsia" w:hAnsiTheme="minorEastAsia"/>
          <w:szCs w:val="21"/>
        </w:rPr>
      </w:pPr>
      <w:r>
        <w:rPr>
          <w:rFonts w:asciiTheme="minorEastAsia" w:hAnsiTheme="minorEastAsia"/>
          <w:szCs w:val="21"/>
        </w:rPr>
        <w:br w:type="page"/>
      </w:r>
    </w:p>
    <w:p w:rsidR="00124A9C" w:rsidRDefault="00124A9C" w:rsidP="00124A9C">
      <w:pPr>
        <w:spacing w:line="300" w:lineRule="auto"/>
        <w:ind w:firstLineChars="200" w:firstLine="420"/>
        <w:jc w:val="center"/>
        <w:rPr>
          <w:rFonts w:asciiTheme="minorEastAsia" w:hAnsiTheme="minorEastAsia"/>
          <w:szCs w:val="21"/>
        </w:rPr>
      </w:pPr>
    </w:p>
    <w:p w:rsidR="00124A9C" w:rsidRPr="00124A9C" w:rsidRDefault="00124A9C" w:rsidP="00124A9C">
      <w:pPr>
        <w:spacing w:line="300" w:lineRule="auto"/>
        <w:ind w:firstLineChars="200" w:firstLine="643"/>
        <w:jc w:val="center"/>
        <w:rPr>
          <w:rFonts w:ascii="黑体" w:eastAsia="黑体" w:hAnsi="黑体"/>
          <w:b/>
          <w:sz w:val="32"/>
          <w:szCs w:val="32"/>
        </w:rPr>
      </w:pPr>
      <w:r w:rsidRPr="00124A9C">
        <w:rPr>
          <w:rFonts w:ascii="黑体" w:eastAsia="黑体" w:hAnsi="黑体" w:hint="eastAsia"/>
          <w:b/>
          <w:sz w:val="32"/>
          <w:szCs w:val="32"/>
        </w:rPr>
        <w:t>目录</w:t>
      </w:r>
    </w:p>
    <w:sdt>
      <w:sdtPr>
        <w:rPr>
          <w:rFonts w:asciiTheme="minorEastAsia" w:eastAsiaTheme="minorEastAsia" w:hAnsiTheme="minorEastAsia" w:cstheme="minorBidi"/>
          <w:b w:val="0"/>
          <w:bCs w:val="0"/>
          <w:color w:val="auto"/>
          <w:kern w:val="2"/>
          <w:sz w:val="21"/>
          <w:szCs w:val="21"/>
          <w:lang w:val="zh-CN"/>
        </w:rPr>
        <w:id w:val="-155305062"/>
        <w:docPartObj>
          <w:docPartGallery w:val="Table of Contents"/>
          <w:docPartUnique/>
        </w:docPartObj>
      </w:sdtPr>
      <w:sdtContent>
        <w:p w:rsidR="00124A9C" w:rsidRPr="00124A9C" w:rsidRDefault="00124A9C" w:rsidP="00124A9C">
          <w:pPr>
            <w:pStyle w:val="TOC"/>
            <w:spacing w:before="0" w:line="300" w:lineRule="auto"/>
            <w:rPr>
              <w:rFonts w:asciiTheme="minorEastAsia" w:eastAsiaTheme="minorEastAsia" w:hAnsiTheme="minorEastAsia"/>
              <w:b w:val="0"/>
              <w:color w:val="auto"/>
              <w:sz w:val="21"/>
              <w:szCs w:val="21"/>
            </w:rPr>
          </w:pPr>
        </w:p>
        <w:p w:rsidR="00AA532C" w:rsidRDefault="00176EE6">
          <w:pPr>
            <w:pStyle w:val="11"/>
            <w:tabs>
              <w:tab w:val="right" w:leader="dot" w:pos="8296"/>
            </w:tabs>
            <w:rPr>
              <w:noProof/>
              <w:kern w:val="2"/>
              <w:sz w:val="21"/>
            </w:rPr>
          </w:pPr>
          <w:r w:rsidRPr="00176EE6">
            <w:rPr>
              <w:rFonts w:asciiTheme="minorEastAsia" w:hAnsiTheme="minorEastAsia"/>
              <w:sz w:val="21"/>
              <w:szCs w:val="21"/>
            </w:rPr>
            <w:fldChar w:fldCharType="begin"/>
          </w:r>
          <w:r w:rsidR="00124A9C" w:rsidRPr="00124A9C">
            <w:rPr>
              <w:rFonts w:asciiTheme="minorEastAsia" w:hAnsiTheme="minorEastAsia"/>
              <w:sz w:val="21"/>
              <w:szCs w:val="21"/>
            </w:rPr>
            <w:instrText xml:space="preserve"> TOC \o "1-3" \h \z \u </w:instrText>
          </w:r>
          <w:r w:rsidRPr="00176EE6">
            <w:rPr>
              <w:rFonts w:asciiTheme="minorEastAsia" w:hAnsiTheme="minorEastAsia"/>
              <w:sz w:val="21"/>
              <w:szCs w:val="21"/>
            </w:rPr>
            <w:fldChar w:fldCharType="separate"/>
          </w:r>
          <w:hyperlink w:anchor="_Toc458770036" w:history="1">
            <w:r w:rsidR="00AA532C" w:rsidRPr="00795F63">
              <w:rPr>
                <w:rStyle w:val="ac"/>
                <w:rFonts w:asciiTheme="minorEastAsia" w:hAnsiTheme="minorEastAsia" w:cs="Times New Roman" w:hint="eastAsia"/>
                <w:b/>
                <w:noProof/>
                <w:kern w:val="44"/>
              </w:rPr>
              <w:t>关于本报告</w:t>
            </w:r>
            <w:r w:rsidR="00AA532C">
              <w:rPr>
                <w:noProof/>
                <w:webHidden/>
              </w:rPr>
              <w:tab/>
            </w:r>
            <w:r>
              <w:rPr>
                <w:noProof/>
                <w:webHidden/>
              </w:rPr>
              <w:fldChar w:fldCharType="begin"/>
            </w:r>
            <w:r w:rsidR="00AA532C">
              <w:rPr>
                <w:noProof/>
                <w:webHidden/>
              </w:rPr>
              <w:instrText xml:space="preserve"> PAGEREF _Toc458770036 \h </w:instrText>
            </w:r>
            <w:r>
              <w:rPr>
                <w:noProof/>
                <w:webHidden/>
              </w:rPr>
            </w:r>
            <w:r>
              <w:rPr>
                <w:noProof/>
                <w:webHidden/>
              </w:rPr>
              <w:fldChar w:fldCharType="separate"/>
            </w:r>
            <w:r w:rsidR="00AA532C">
              <w:rPr>
                <w:noProof/>
                <w:webHidden/>
              </w:rPr>
              <w:t>1</w:t>
            </w:r>
            <w:r>
              <w:rPr>
                <w:noProof/>
                <w:webHidden/>
              </w:rPr>
              <w:fldChar w:fldCharType="end"/>
            </w:r>
          </w:hyperlink>
        </w:p>
        <w:p w:rsidR="00AA532C" w:rsidRDefault="00176EE6">
          <w:pPr>
            <w:pStyle w:val="11"/>
            <w:tabs>
              <w:tab w:val="right" w:leader="dot" w:pos="8296"/>
            </w:tabs>
            <w:rPr>
              <w:noProof/>
              <w:kern w:val="2"/>
              <w:sz w:val="21"/>
            </w:rPr>
          </w:pPr>
          <w:hyperlink w:anchor="_Toc458770037" w:history="1">
            <w:r w:rsidR="00AA532C" w:rsidRPr="00795F63">
              <w:rPr>
                <w:rStyle w:val="ac"/>
                <w:rFonts w:asciiTheme="minorEastAsia" w:hAnsiTheme="minorEastAsia" w:cs="Times New Roman" w:hint="eastAsia"/>
                <w:b/>
                <w:noProof/>
                <w:kern w:val="44"/>
              </w:rPr>
              <w:t>高管致辞</w:t>
            </w:r>
            <w:r w:rsidR="00AA532C">
              <w:rPr>
                <w:noProof/>
                <w:webHidden/>
              </w:rPr>
              <w:tab/>
            </w:r>
            <w:r>
              <w:rPr>
                <w:noProof/>
                <w:webHidden/>
              </w:rPr>
              <w:fldChar w:fldCharType="begin"/>
            </w:r>
            <w:r w:rsidR="00AA532C">
              <w:rPr>
                <w:noProof/>
                <w:webHidden/>
              </w:rPr>
              <w:instrText xml:space="preserve"> PAGEREF _Toc458770037 \h </w:instrText>
            </w:r>
            <w:r>
              <w:rPr>
                <w:noProof/>
                <w:webHidden/>
              </w:rPr>
            </w:r>
            <w:r>
              <w:rPr>
                <w:noProof/>
                <w:webHidden/>
              </w:rPr>
              <w:fldChar w:fldCharType="separate"/>
            </w:r>
            <w:r w:rsidR="00AA532C">
              <w:rPr>
                <w:noProof/>
                <w:webHidden/>
              </w:rPr>
              <w:t>2</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38" w:history="1">
            <w:r w:rsidR="00AA532C" w:rsidRPr="00795F63">
              <w:rPr>
                <w:rStyle w:val="ac"/>
                <w:rFonts w:ascii="宋体" w:eastAsia="宋体" w:hAnsi="宋体" w:cs="Times New Roman"/>
                <w:b/>
                <w:noProof/>
                <w:kern w:val="44"/>
              </w:rPr>
              <w:t>1.</w:t>
            </w:r>
            <w:r w:rsidR="00AA532C">
              <w:rPr>
                <w:noProof/>
                <w:kern w:val="2"/>
                <w:sz w:val="21"/>
              </w:rPr>
              <w:tab/>
            </w:r>
            <w:r w:rsidR="00AA532C" w:rsidRPr="00795F63">
              <w:rPr>
                <w:rStyle w:val="ac"/>
                <w:rFonts w:asciiTheme="minorEastAsia" w:hAnsiTheme="minorEastAsia" w:cs="Times New Roman" w:hint="eastAsia"/>
                <w:b/>
                <w:noProof/>
                <w:kern w:val="44"/>
              </w:rPr>
              <w:t>关于我们</w:t>
            </w:r>
            <w:r w:rsidR="00AA532C">
              <w:rPr>
                <w:noProof/>
                <w:webHidden/>
              </w:rPr>
              <w:tab/>
            </w:r>
            <w:r>
              <w:rPr>
                <w:noProof/>
                <w:webHidden/>
              </w:rPr>
              <w:fldChar w:fldCharType="begin"/>
            </w:r>
            <w:r w:rsidR="00AA532C">
              <w:rPr>
                <w:noProof/>
                <w:webHidden/>
              </w:rPr>
              <w:instrText xml:space="preserve"> PAGEREF _Toc458770038 \h </w:instrText>
            </w:r>
            <w:r>
              <w:rPr>
                <w:noProof/>
                <w:webHidden/>
              </w:rPr>
            </w:r>
            <w:r>
              <w:rPr>
                <w:noProof/>
                <w:webHidden/>
              </w:rPr>
              <w:fldChar w:fldCharType="separate"/>
            </w:r>
            <w:r w:rsidR="00AA532C">
              <w:rPr>
                <w:noProof/>
                <w:webHidden/>
              </w:rPr>
              <w:t>3</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39" w:history="1">
            <w:r w:rsidR="00AA532C" w:rsidRPr="00795F63">
              <w:rPr>
                <w:rStyle w:val="ac"/>
                <w:rFonts w:ascii="宋体" w:eastAsia="宋体" w:hAnsi="宋体" w:cs="Times New Roman"/>
                <w:b/>
                <w:noProof/>
                <w:kern w:val="44"/>
              </w:rPr>
              <w:t>1.1.</w:t>
            </w:r>
            <w:r w:rsidR="00AA532C">
              <w:rPr>
                <w:noProof/>
                <w:kern w:val="2"/>
                <w:sz w:val="21"/>
              </w:rPr>
              <w:tab/>
            </w:r>
            <w:r w:rsidR="00AA532C" w:rsidRPr="00795F63">
              <w:rPr>
                <w:rStyle w:val="ac"/>
                <w:rFonts w:ascii="宋体" w:eastAsia="宋体" w:hAnsi="宋体" w:cs="宋体" w:hint="eastAsia"/>
                <w:b/>
                <w:noProof/>
                <w:kern w:val="44"/>
              </w:rPr>
              <w:t>公司简介</w:t>
            </w:r>
            <w:r w:rsidR="00AA532C">
              <w:rPr>
                <w:noProof/>
                <w:webHidden/>
              </w:rPr>
              <w:tab/>
            </w:r>
            <w:r>
              <w:rPr>
                <w:noProof/>
                <w:webHidden/>
              </w:rPr>
              <w:fldChar w:fldCharType="begin"/>
            </w:r>
            <w:r w:rsidR="00AA532C">
              <w:rPr>
                <w:noProof/>
                <w:webHidden/>
              </w:rPr>
              <w:instrText xml:space="preserve"> PAGEREF _Toc458770039 \h </w:instrText>
            </w:r>
            <w:r>
              <w:rPr>
                <w:noProof/>
                <w:webHidden/>
              </w:rPr>
            </w:r>
            <w:r>
              <w:rPr>
                <w:noProof/>
                <w:webHidden/>
              </w:rPr>
              <w:fldChar w:fldCharType="separate"/>
            </w:r>
            <w:r w:rsidR="00AA532C">
              <w:rPr>
                <w:noProof/>
                <w:webHidden/>
              </w:rPr>
              <w:t>3</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0" w:history="1">
            <w:r w:rsidR="00AA532C" w:rsidRPr="00795F63">
              <w:rPr>
                <w:rStyle w:val="ac"/>
                <w:rFonts w:ascii="宋体" w:eastAsia="宋体" w:hAnsi="宋体" w:cs="Times New Roman"/>
                <w:b/>
                <w:noProof/>
                <w:kern w:val="44"/>
              </w:rPr>
              <w:t>1.2.</w:t>
            </w:r>
            <w:r w:rsidR="00AA532C">
              <w:rPr>
                <w:noProof/>
                <w:kern w:val="2"/>
                <w:sz w:val="21"/>
              </w:rPr>
              <w:tab/>
            </w:r>
            <w:r w:rsidR="00AA532C" w:rsidRPr="00795F63">
              <w:rPr>
                <w:rStyle w:val="ac"/>
                <w:rFonts w:ascii="宋体" w:eastAsia="宋体" w:hAnsi="宋体" w:cs="宋体" w:hint="eastAsia"/>
                <w:b/>
                <w:noProof/>
                <w:kern w:val="44"/>
              </w:rPr>
              <w:t>发展历程</w:t>
            </w:r>
            <w:r w:rsidR="00AA532C">
              <w:rPr>
                <w:noProof/>
                <w:webHidden/>
              </w:rPr>
              <w:tab/>
            </w:r>
            <w:r>
              <w:rPr>
                <w:noProof/>
                <w:webHidden/>
              </w:rPr>
              <w:fldChar w:fldCharType="begin"/>
            </w:r>
            <w:r w:rsidR="00AA532C">
              <w:rPr>
                <w:noProof/>
                <w:webHidden/>
              </w:rPr>
              <w:instrText xml:space="preserve"> PAGEREF _Toc458770040 \h </w:instrText>
            </w:r>
            <w:r>
              <w:rPr>
                <w:noProof/>
                <w:webHidden/>
              </w:rPr>
            </w:r>
            <w:r>
              <w:rPr>
                <w:noProof/>
                <w:webHidden/>
              </w:rPr>
              <w:fldChar w:fldCharType="separate"/>
            </w:r>
            <w:r w:rsidR="00AA532C">
              <w:rPr>
                <w:noProof/>
                <w:webHidden/>
              </w:rPr>
              <w:t>4</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1" w:history="1">
            <w:r w:rsidR="00AA532C" w:rsidRPr="00795F63">
              <w:rPr>
                <w:rStyle w:val="ac"/>
                <w:rFonts w:ascii="宋体" w:eastAsia="宋体" w:hAnsi="宋体" w:cs="Times New Roman"/>
                <w:b/>
                <w:noProof/>
                <w:kern w:val="44"/>
              </w:rPr>
              <w:t>1.3.</w:t>
            </w:r>
            <w:r w:rsidR="00AA532C">
              <w:rPr>
                <w:noProof/>
                <w:kern w:val="2"/>
                <w:sz w:val="21"/>
              </w:rPr>
              <w:tab/>
            </w:r>
            <w:r w:rsidR="00AA532C" w:rsidRPr="00795F63">
              <w:rPr>
                <w:rStyle w:val="ac"/>
                <w:rFonts w:ascii="宋体" w:eastAsia="宋体" w:hAnsi="宋体" w:cs="宋体" w:hint="eastAsia"/>
                <w:b/>
                <w:noProof/>
                <w:kern w:val="44"/>
              </w:rPr>
              <w:t>企业文化</w:t>
            </w:r>
            <w:r w:rsidR="00AA532C">
              <w:rPr>
                <w:noProof/>
                <w:webHidden/>
              </w:rPr>
              <w:tab/>
            </w:r>
            <w:r>
              <w:rPr>
                <w:noProof/>
                <w:webHidden/>
              </w:rPr>
              <w:fldChar w:fldCharType="begin"/>
            </w:r>
            <w:r w:rsidR="00AA532C">
              <w:rPr>
                <w:noProof/>
                <w:webHidden/>
              </w:rPr>
              <w:instrText xml:space="preserve"> PAGEREF _Toc458770041 \h </w:instrText>
            </w:r>
            <w:r>
              <w:rPr>
                <w:noProof/>
                <w:webHidden/>
              </w:rPr>
            </w:r>
            <w:r>
              <w:rPr>
                <w:noProof/>
                <w:webHidden/>
              </w:rPr>
              <w:fldChar w:fldCharType="separate"/>
            </w:r>
            <w:r w:rsidR="00AA532C">
              <w:rPr>
                <w:noProof/>
                <w:webHidden/>
              </w:rPr>
              <w:t>5</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2" w:history="1">
            <w:r w:rsidR="00AA532C" w:rsidRPr="00795F63">
              <w:rPr>
                <w:rStyle w:val="ac"/>
                <w:rFonts w:ascii="宋体" w:eastAsia="宋体" w:hAnsi="宋体" w:cs="Times New Roman"/>
                <w:b/>
                <w:noProof/>
                <w:kern w:val="44"/>
              </w:rPr>
              <w:t>1.4.</w:t>
            </w:r>
            <w:r w:rsidR="00AA532C">
              <w:rPr>
                <w:noProof/>
                <w:kern w:val="2"/>
                <w:sz w:val="21"/>
              </w:rPr>
              <w:tab/>
            </w:r>
            <w:r w:rsidR="00AA532C" w:rsidRPr="00795F63">
              <w:rPr>
                <w:rStyle w:val="ac"/>
                <w:rFonts w:ascii="宋体" w:eastAsia="宋体" w:hAnsi="宋体" w:cs="宋体" w:hint="eastAsia"/>
                <w:b/>
                <w:noProof/>
                <w:kern w:val="44"/>
              </w:rPr>
              <w:t>公司治理与内控体系</w:t>
            </w:r>
            <w:r w:rsidR="00AA532C">
              <w:rPr>
                <w:noProof/>
                <w:webHidden/>
              </w:rPr>
              <w:tab/>
            </w:r>
            <w:r>
              <w:rPr>
                <w:noProof/>
                <w:webHidden/>
              </w:rPr>
              <w:fldChar w:fldCharType="begin"/>
            </w:r>
            <w:r w:rsidR="00AA532C">
              <w:rPr>
                <w:noProof/>
                <w:webHidden/>
              </w:rPr>
              <w:instrText xml:space="preserve"> PAGEREF _Toc458770042 \h </w:instrText>
            </w:r>
            <w:r>
              <w:rPr>
                <w:noProof/>
                <w:webHidden/>
              </w:rPr>
            </w:r>
            <w:r>
              <w:rPr>
                <w:noProof/>
                <w:webHidden/>
              </w:rPr>
              <w:fldChar w:fldCharType="separate"/>
            </w:r>
            <w:r w:rsidR="00AA532C">
              <w:rPr>
                <w:noProof/>
                <w:webHidden/>
              </w:rPr>
              <w:t>5</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3" w:history="1">
            <w:r w:rsidR="00AA532C" w:rsidRPr="00795F63">
              <w:rPr>
                <w:rStyle w:val="ac"/>
                <w:rFonts w:ascii="宋体" w:eastAsia="宋体" w:hAnsi="宋体" w:cs="Times New Roman"/>
                <w:b/>
                <w:noProof/>
                <w:kern w:val="44"/>
              </w:rPr>
              <w:t>1.5.</w:t>
            </w:r>
            <w:r w:rsidR="00AA532C">
              <w:rPr>
                <w:noProof/>
                <w:kern w:val="2"/>
                <w:sz w:val="21"/>
              </w:rPr>
              <w:tab/>
            </w:r>
            <w:r w:rsidR="00AA532C" w:rsidRPr="00795F63">
              <w:rPr>
                <w:rStyle w:val="ac"/>
                <w:rFonts w:ascii="宋体" w:eastAsia="宋体" w:hAnsi="宋体" w:cs="宋体" w:hint="eastAsia"/>
                <w:b/>
                <w:noProof/>
                <w:kern w:val="44"/>
              </w:rPr>
              <w:t>企业荣誉</w:t>
            </w:r>
            <w:r w:rsidR="00AA532C">
              <w:rPr>
                <w:noProof/>
                <w:webHidden/>
              </w:rPr>
              <w:tab/>
            </w:r>
            <w:r>
              <w:rPr>
                <w:noProof/>
                <w:webHidden/>
              </w:rPr>
              <w:fldChar w:fldCharType="begin"/>
            </w:r>
            <w:r w:rsidR="00AA532C">
              <w:rPr>
                <w:noProof/>
                <w:webHidden/>
              </w:rPr>
              <w:instrText xml:space="preserve"> PAGEREF _Toc458770043 \h </w:instrText>
            </w:r>
            <w:r>
              <w:rPr>
                <w:noProof/>
                <w:webHidden/>
              </w:rPr>
            </w:r>
            <w:r>
              <w:rPr>
                <w:noProof/>
                <w:webHidden/>
              </w:rPr>
              <w:fldChar w:fldCharType="separate"/>
            </w:r>
            <w:r w:rsidR="00AA532C">
              <w:rPr>
                <w:noProof/>
                <w:webHidden/>
              </w:rPr>
              <w:t>6</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44" w:history="1">
            <w:r w:rsidR="00AA532C" w:rsidRPr="00795F63">
              <w:rPr>
                <w:rStyle w:val="ac"/>
                <w:rFonts w:asciiTheme="minorEastAsia" w:hAnsiTheme="minorEastAsia" w:cs="Times New Roman"/>
                <w:b/>
                <w:noProof/>
                <w:kern w:val="44"/>
              </w:rPr>
              <w:t>2.</w:t>
            </w:r>
            <w:r w:rsidR="00AA532C">
              <w:rPr>
                <w:noProof/>
                <w:kern w:val="2"/>
                <w:sz w:val="21"/>
              </w:rPr>
              <w:tab/>
            </w:r>
            <w:r w:rsidR="00AA532C" w:rsidRPr="00795F63">
              <w:rPr>
                <w:rStyle w:val="ac"/>
                <w:rFonts w:asciiTheme="minorEastAsia" w:hAnsiTheme="minorEastAsia" w:cs="Times New Roman" w:hint="eastAsia"/>
                <w:b/>
                <w:noProof/>
                <w:kern w:val="44"/>
              </w:rPr>
              <w:t>筑牢价值创造的基石</w:t>
            </w:r>
            <w:r w:rsidR="00AA532C">
              <w:rPr>
                <w:noProof/>
                <w:webHidden/>
              </w:rPr>
              <w:tab/>
            </w:r>
            <w:r>
              <w:rPr>
                <w:noProof/>
                <w:webHidden/>
              </w:rPr>
              <w:fldChar w:fldCharType="begin"/>
            </w:r>
            <w:r w:rsidR="00AA532C">
              <w:rPr>
                <w:noProof/>
                <w:webHidden/>
              </w:rPr>
              <w:instrText xml:space="preserve"> PAGEREF _Toc458770044 \h </w:instrText>
            </w:r>
            <w:r>
              <w:rPr>
                <w:noProof/>
                <w:webHidden/>
              </w:rPr>
            </w:r>
            <w:r>
              <w:rPr>
                <w:noProof/>
                <w:webHidden/>
              </w:rPr>
              <w:fldChar w:fldCharType="separate"/>
            </w:r>
            <w:r w:rsidR="00AA532C">
              <w:rPr>
                <w:noProof/>
                <w:webHidden/>
              </w:rPr>
              <w:t>8</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5" w:history="1">
            <w:r w:rsidR="00AA532C" w:rsidRPr="00795F63">
              <w:rPr>
                <w:rStyle w:val="ac"/>
                <w:rFonts w:ascii="宋体" w:eastAsia="宋体" w:hAnsi="宋体" w:cs="Times New Roman"/>
                <w:b/>
                <w:noProof/>
                <w:kern w:val="44"/>
              </w:rPr>
              <w:t>2.1.</w:t>
            </w:r>
            <w:r w:rsidR="00AA532C">
              <w:rPr>
                <w:noProof/>
                <w:kern w:val="2"/>
                <w:sz w:val="21"/>
              </w:rPr>
              <w:tab/>
            </w:r>
            <w:r w:rsidR="00AA532C" w:rsidRPr="00795F63">
              <w:rPr>
                <w:rStyle w:val="ac"/>
                <w:rFonts w:ascii="宋体" w:eastAsia="宋体" w:hAnsi="宋体" w:cs="宋体" w:hint="eastAsia"/>
                <w:b/>
                <w:noProof/>
                <w:kern w:val="44"/>
              </w:rPr>
              <w:t>保证产品品质</w:t>
            </w:r>
            <w:r w:rsidR="00AA532C">
              <w:rPr>
                <w:noProof/>
                <w:webHidden/>
              </w:rPr>
              <w:tab/>
            </w:r>
            <w:r>
              <w:rPr>
                <w:noProof/>
                <w:webHidden/>
              </w:rPr>
              <w:fldChar w:fldCharType="begin"/>
            </w:r>
            <w:r w:rsidR="00AA532C">
              <w:rPr>
                <w:noProof/>
                <w:webHidden/>
              </w:rPr>
              <w:instrText xml:space="preserve"> PAGEREF _Toc458770045 \h </w:instrText>
            </w:r>
            <w:r>
              <w:rPr>
                <w:noProof/>
                <w:webHidden/>
              </w:rPr>
            </w:r>
            <w:r>
              <w:rPr>
                <w:noProof/>
                <w:webHidden/>
              </w:rPr>
              <w:fldChar w:fldCharType="separate"/>
            </w:r>
            <w:r w:rsidR="00AA532C">
              <w:rPr>
                <w:noProof/>
                <w:webHidden/>
              </w:rPr>
              <w:t>8</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6" w:history="1">
            <w:r w:rsidR="00AA532C" w:rsidRPr="00795F63">
              <w:rPr>
                <w:rStyle w:val="ac"/>
                <w:rFonts w:ascii="宋体" w:eastAsia="宋体" w:hAnsi="宋体" w:cs="Times New Roman"/>
                <w:b/>
                <w:noProof/>
                <w:kern w:val="44"/>
              </w:rPr>
              <w:t>2.2.</w:t>
            </w:r>
            <w:r w:rsidR="00AA532C">
              <w:rPr>
                <w:noProof/>
                <w:kern w:val="2"/>
                <w:sz w:val="21"/>
              </w:rPr>
              <w:tab/>
            </w:r>
            <w:r w:rsidR="00AA532C" w:rsidRPr="00795F63">
              <w:rPr>
                <w:rStyle w:val="ac"/>
                <w:rFonts w:ascii="宋体" w:eastAsia="宋体" w:hAnsi="宋体" w:cs="宋体" w:hint="eastAsia"/>
                <w:b/>
                <w:noProof/>
                <w:kern w:val="44"/>
              </w:rPr>
              <w:t>提供全方位客户服务</w:t>
            </w:r>
            <w:r w:rsidR="00AA532C">
              <w:rPr>
                <w:noProof/>
                <w:webHidden/>
              </w:rPr>
              <w:tab/>
            </w:r>
            <w:r>
              <w:rPr>
                <w:noProof/>
                <w:webHidden/>
              </w:rPr>
              <w:fldChar w:fldCharType="begin"/>
            </w:r>
            <w:r w:rsidR="00AA532C">
              <w:rPr>
                <w:noProof/>
                <w:webHidden/>
              </w:rPr>
              <w:instrText xml:space="preserve"> PAGEREF _Toc458770046 \h </w:instrText>
            </w:r>
            <w:r>
              <w:rPr>
                <w:noProof/>
                <w:webHidden/>
              </w:rPr>
            </w:r>
            <w:r>
              <w:rPr>
                <w:noProof/>
                <w:webHidden/>
              </w:rPr>
              <w:fldChar w:fldCharType="separate"/>
            </w:r>
            <w:r w:rsidR="00AA532C">
              <w:rPr>
                <w:noProof/>
                <w:webHidden/>
              </w:rPr>
              <w:t>9</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7" w:history="1">
            <w:r w:rsidR="00AA532C" w:rsidRPr="00795F63">
              <w:rPr>
                <w:rStyle w:val="ac"/>
                <w:rFonts w:ascii="宋体" w:eastAsia="宋体" w:hAnsi="宋体" w:cs="Times New Roman"/>
                <w:b/>
                <w:noProof/>
                <w:kern w:val="44"/>
              </w:rPr>
              <w:t>2.3.</w:t>
            </w:r>
            <w:r w:rsidR="00AA532C">
              <w:rPr>
                <w:noProof/>
                <w:kern w:val="2"/>
                <w:sz w:val="21"/>
              </w:rPr>
              <w:tab/>
            </w:r>
            <w:r w:rsidR="00AA532C" w:rsidRPr="00795F63">
              <w:rPr>
                <w:rStyle w:val="ac"/>
                <w:rFonts w:ascii="宋体" w:eastAsia="宋体" w:hAnsi="宋体" w:cs="宋体" w:hint="eastAsia"/>
                <w:b/>
                <w:noProof/>
                <w:kern w:val="44"/>
              </w:rPr>
              <w:t>强化创新驱动</w:t>
            </w:r>
            <w:r w:rsidR="00AA532C">
              <w:rPr>
                <w:noProof/>
                <w:webHidden/>
              </w:rPr>
              <w:tab/>
            </w:r>
            <w:r>
              <w:rPr>
                <w:noProof/>
                <w:webHidden/>
              </w:rPr>
              <w:fldChar w:fldCharType="begin"/>
            </w:r>
            <w:r w:rsidR="00AA532C">
              <w:rPr>
                <w:noProof/>
                <w:webHidden/>
              </w:rPr>
              <w:instrText xml:space="preserve"> PAGEREF _Toc458770047 \h </w:instrText>
            </w:r>
            <w:r>
              <w:rPr>
                <w:noProof/>
                <w:webHidden/>
              </w:rPr>
            </w:r>
            <w:r>
              <w:rPr>
                <w:noProof/>
                <w:webHidden/>
              </w:rPr>
              <w:fldChar w:fldCharType="separate"/>
            </w:r>
            <w:r w:rsidR="00AA532C">
              <w:rPr>
                <w:noProof/>
                <w:webHidden/>
              </w:rPr>
              <w:t>9</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48" w:history="1">
            <w:r w:rsidR="00AA532C" w:rsidRPr="00795F63">
              <w:rPr>
                <w:rStyle w:val="ac"/>
                <w:rFonts w:asciiTheme="minorEastAsia" w:hAnsiTheme="minorEastAsia" w:cs="Times New Roman"/>
                <w:b/>
                <w:noProof/>
                <w:kern w:val="44"/>
              </w:rPr>
              <w:t>3.</w:t>
            </w:r>
            <w:r w:rsidR="00AA532C">
              <w:rPr>
                <w:noProof/>
                <w:kern w:val="2"/>
                <w:sz w:val="21"/>
              </w:rPr>
              <w:tab/>
            </w:r>
            <w:r w:rsidR="00AA532C" w:rsidRPr="00795F63">
              <w:rPr>
                <w:rStyle w:val="ac"/>
                <w:rFonts w:asciiTheme="minorEastAsia" w:hAnsiTheme="minorEastAsia" w:cs="Times New Roman" w:hint="eastAsia"/>
                <w:b/>
                <w:noProof/>
                <w:kern w:val="44"/>
              </w:rPr>
              <w:t>引领安全绿色发展的格局</w:t>
            </w:r>
            <w:r w:rsidR="00AA532C">
              <w:rPr>
                <w:noProof/>
                <w:webHidden/>
              </w:rPr>
              <w:tab/>
            </w:r>
            <w:r>
              <w:rPr>
                <w:noProof/>
                <w:webHidden/>
              </w:rPr>
              <w:fldChar w:fldCharType="begin"/>
            </w:r>
            <w:r w:rsidR="00AA532C">
              <w:rPr>
                <w:noProof/>
                <w:webHidden/>
              </w:rPr>
              <w:instrText xml:space="preserve"> PAGEREF _Toc458770048 \h </w:instrText>
            </w:r>
            <w:r>
              <w:rPr>
                <w:noProof/>
                <w:webHidden/>
              </w:rPr>
            </w:r>
            <w:r>
              <w:rPr>
                <w:noProof/>
                <w:webHidden/>
              </w:rPr>
              <w:fldChar w:fldCharType="separate"/>
            </w:r>
            <w:r w:rsidR="00AA532C">
              <w:rPr>
                <w:noProof/>
                <w:webHidden/>
              </w:rPr>
              <w:t>11</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49" w:history="1">
            <w:r w:rsidR="00AA532C" w:rsidRPr="00795F63">
              <w:rPr>
                <w:rStyle w:val="ac"/>
                <w:rFonts w:ascii="宋体" w:eastAsia="宋体" w:hAnsi="宋体" w:cs="Times New Roman"/>
                <w:b/>
                <w:noProof/>
                <w:kern w:val="44"/>
              </w:rPr>
              <w:t>3.1.</w:t>
            </w:r>
            <w:r w:rsidR="00AA532C">
              <w:rPr>
                <w:noProof/>
                <w:kern w:val="2"/>
                <w:sz w:val="21"/>
              </w:rPr>
              <w:tab/>
            </w:r>
            <w:r w:rsidR="00AA532C" w:rsidRPr="00795F63">
              <w:rPr>
                <w:rStyle w:val="ac"/>
                <w:rFonts w:ascii="宋体" w:eastAsia="宋体" w:hAnsi="宋体" w:cs="宋体" w:hint="eastAsia"/>
                <w:b/>
                <w:noProof/>
                <w:kern w:val="44"/>
              </w:rPr>
              <w:t>安全生产</w:t>
            </w:r>
            <w:r w:rsidR="00AA532C">
              <w:rPr>
                <w:noProof/>
                <w:webHidden/>
              </w:rPr>
              <w:tab/>
            </w:r>
            <w:r>
              <w:rPr>
                <w:noProof/>
                <w:webHidden/>
              </w:rPr>
              <w:fldChar w:fldCharType="begin"/>
            </w:r>
            <w:r w:rsidR="00AA532C">
              <w:rPr>
                <w:noProof/>
                <w:webHidden/>
              </w:rPr>
              <w:instrText xml:space="preserve"> PAGEREF _Toc458770049 \h </w:instrText>
            </w:r>
            <w:r>
              <w:rPr>
                <w:noProof/>
                <w:webHidden/>
              </w:rPr>
            </w:r>
            <w:r>
              <w:rPr>
                <w:noProof/>
                <w:webHidden/>
              </w:rPr>
              <w:fldChar w:fldCharType="separate"/>
            </w:r>
            <w:r w:rsidR="00AA532C">
              <w:rPr>
                <w:noProof/>
                <w:webHidden/>
              </w:rPr>
              <w:t>12</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0" w:history="1">
            <w:r w:rsidR="00AA532C" w:rsidRPr="00795F63">
              <w:rPr>
                <w:rStyle w:val="ac"/>
                <w:rFonts w:ascii="宋体" w:eastAsia="宋体" w:hAnsi="宋体" w:cs="Times New Roman"/>
                <w:b/>
                <w:noProof/>
                <w:kern w:val="44"/>
              </w:rPr>
              <w:t>3.2.</w:t>
            </w:r>
            <w:r w:rsidR="00AA532C">
              <w:rPr>
                <w:noProof/>
                <w:kern w:val="2"/>
                <w:sz w:val="21"/>
              </w:rPr>
              <w:tab/>
            </w:r>
            <w:r w:rsidR="00AA532C" w:rsidRPr="00795F63">
              <w:rPr>
                <w:rStyle w:val="ac"/>
                <w:rFonts w:ascii="宋体" w:eastAsia="宋体" w:hAnsi="宋体" w:cs="宋体" w:hint="eastAsia"/>
                <w:b/>
                <w:noProof/>
                <w:kern w:val="44"/>
              </w:rPr>
              <w:t>绿色运营</w:t>
            </w:r>
            <w:r w:rsidR="00AA532C">
              <w:rPr>
                <w:noProof/>
                <w:webHidden/>
              </w:rPr>
              <w:tab/>
            </w:r>
            <w:r>
              <w:rPr>
                <w:noProof/>
                <w:webHidden/>
              </w:rPr>
              <w:fldChar w:fldCharType="begin"/>
            </w:r>
            <w:r w:rsidR="00AA532C">
              <w:rPr>
                <w:noProof/>
                <w:webHidden/>
              </w:rPr>
              <w:instrText xml:space="preserve"> PAGEREF _Toc458770050 \h </w:instrText>
            </w:r>
            <w:r>
              <w:rPr>
                <w:noProof/>
                <w:webHidden/>
              </w:rPr>
            </w:r>
            <w:r>
              <w:rPr>
                <w:noProof/>
                <w:webHidden/>
              </w:rPr>
              <w:fldChar w:fldCharType="separate"/>
            </w:r>
            <w:r w:rsidR="00AA532C">
              <w:rPr>
                <w:noProof/>
                <w:webHidden/>
              </w:rPr>
              <w:t>13</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51" w:history="1">
            <w:r w:rsidR="00AA532C" w:rsidRPr="00795F63">
              <w:rPr>
                <w:rStyle w:val="ac"/>
                <w:rFonts w:asciiTheme="minorEastAsia" w:hAnsiTheme="minorEastAsia" w:cs="Times New Roman"/>
                <w:b/>
                <w:noProof/>
                <w:kern w:val="44"/>
              </w:rPr>
              <w:t>4.</w:t>
            </w:r>
            <w:r w:rsidR="00AA532C">
              <w:rPr>
                <w:noProof/>
                <w:kern w:val="2"/>
                <w:sz w:val="21"/>
              </w:rPr>
              <w:tab/>
            </w:r>
            <w:r w:rsidR="00AA532C" w:rsidRPr="00795F63">
              <w:rPr>
                <w:rStyle w:val="ac"/>
                <w:rFonts w:asciiTheme="minorEastAsia" w:hAnsiTheme="minorEastAsia" w:cs="Times New Roman" w:hint="eastAsia"/>
                <w:b/>
                <w:noProof/>
                <w:kern w:val="44"/>
              </w:rPr>
              <w:t>开创伙伴共赢的局面</w:t>
            </w:r>
            <w:r w:rsidR="00AA532C">
              <w:rPr>
                <w:noProof/>
                <w:webHidden/>
              </w:rPr>
              <w:tab/>
            </w:r>
            <w:r>
              <w:rPr>
                <w:noProof/>
                <w:webHidden/>
              </w:rPr>
              <w:fldChar w:fldCharType="begin"/>
            </w:r>
            <w:r w:rsidR="00AA532C">
              <w:rPr>
                <w:noProof/>
                <w:webHidden/>
              </w:rPr>
              <w:instrText xml:space="preserve"> PAGEREF _Toc458770051 \h </w:instrText>
            </w:r>
            <w:r>
              <w:rPr>
                <w:noProof/>
                <w:webHidden/>
              </w:rPr>
            </w:r>
            <w:r>
              <w:rPr>
                <w:noProof/>
                <w:webHidden/>
              </w:rPr>
              <w:fldChar w:fldCharType="separate"/>
            </w:r>
            <w:r w:rsidR="00AA532C">
              <w:rPr>
                <w:noProof/>
                <w:webHidden/>
              </w:rPr>
              <w:t>17</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2" w:history="1">
            <w:r w:rsidR="00AA532C" w:rsidRPr="00795F63">
              <w:rPr>
                <w:rStyle w:val="ac"/>
                <w:rFonts w:ascii="宋体" w:eastAsia="宋体" w:hAnsi="宋体" w:cs="Times New Roman"/>
                <w:b/>
                <w:noProof/>
                <w:kern w:val="44"/>
              </w:rPr>
              <w:t>4.1.</w:t>
            </w:r>
            <w:r w:rsidR="00AA532C">
              <w:rPr>
                <w:noProof/>
                <w:kern w:val="2"/>
                <w:sz w:val="21"/>
              </w:rPr>
              <w:tab/>
            </w:r>
            <w:r w:rsidR="00AA532C" w:rsidRPr="00795F63">
              <w:rPr>
                <w:rStyle w:val="ac"/>
                <w:rFonts w:ascii="宋体" w:eastAsia="宋体" w:hAnsi="宋体" w:cs="宋体" w:hint="eastAsia"/>
                <w:b/>
                <w:noProof/>
                <w:kern w:val="44"/>
              </w:rPr>
              <w:t>打造责任供应链</w:t>
            </w:r>
            <w:r w:rsidR="00AA532C">
              <w:rPr>
                <w:noProof/>
                <w:webHidden/>
              </w:rPr>
              <w:tab/>
            </w:r>
            <w:r>
              <w:rPr>
                <w:noProof/>
                <w:webHidden/>
              </w:rPr>
              <w:fldChar w:fldCharType="begin"/>
            </w:r>
            <w:r w:rsidR="00AA532C">
              <w:rPr>
                <w:noProof/>
                <w:webHidden/>
              </w:rPr>
              <w:instrText xml:space="preserve"> PAGEREF _Toc458770052 \h </w:instrText>
            </w:r>
            <w:r>
              <w:rPr>
                <w:noProof/>
                <w:webHidden/>
              </w:rPr>
            </w:r>
            <w:r>
              <w:rPr>
                <w:noProof/>
                <w:webHidden/>
              </w:rPr>
              <w:fldChar w:fldCharType="separate"/>
            </w:r>
            <w:r w:rsidR="00AA532C">
              <w:rPr>
                <w:noProof/>
                <w:webHidden/>
              </w:rPr>
              <w:t>17</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3" w:history="1">
            <w:r w:rsidR="00AA532C" w:rsidRPr="00795F63">
              <w:rPr>
                <w:rStyle w:val="ac"/>
                <w:rFonts w:ascii="宋体" w:eastAsia="宋体" w:hAnsi="宋体" w:cs="Times New Roman"/>
                <w:b/>
                <w:noProof/>
                <w:kern w:val="44"/>
              </w:rPr>
              <w:t>4.2.</w:t>
            </w:r>
            <w:r w:rsidR="00AA532C">
              <w:rPr>
                <w:noProof/>
                <w:kern w:val="2"/>
                <w:sz w:val="21"/>
              </w:rPr>
              <w:tab/>
            </w:r>
            <w:r w:rsidR="00AA532C" w:rsidRPr="00795F63">
              <w:rPr>
                <w:rStyle w:val="ac"/>
                <w:rFonts w:ascii="宋体" w:eastAsia="宋体" w:hAnsi="宋体" w:cs="宋体" w:hint="eastAsia"/>
                <w:b/>
                <w:noProof/>
                <w:kern w:val="44"/>
              </w:rPr>
              <w:t>推动行业进步</w:t>
            </w:r>
            <w:r w:rsidR="00AA532C">
              <w:rPr>
                <w:noProof/>
                <w:webHidden/>
              </w:rPr>
              <w:tab/>
            </w:r>
            <w:r>
              <w:rPr>
                <w:noProof/>
                <w:webHidden/>
              </w:rPr>
              <w:fldChar w:fldCharType="begin"/>
            </w:r>
            <w:r w:rsidR="00AA532C">
              <w:rPr>
                <w:noProof/>
                <w:webHidden/>
              </w:rPr>
              <w:instrText xml:space="preserve"> PAGEREF _Toc458770053 \h </w:instrText>
            </w:r>
            <w:r>
              <w:rPr>
                <w:noProof/>
                <w:webHidden/>
              </w:rPr>
            </w:r>
            <w:r>
              <w:rPr>
                <w:noProof/>
                <w:webHidden/>
              </w:rPr>
              <w:fldChar w:fldCharType="separate"/>
            </w:r>
            <w:r w:rsidR="00AA532C">
              <w:rPr>
                <w:noProof/>
                <w:webHidden/>
              </w:rPr>
              <w:t>19</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4" w:history="1">
            <w:r w:rsidR="00AA532C" w:rsidRPr="00795F63">
              <w:rPr>
                <w:rStyle w:val="ac"/>
                <w:rFonts w:ascii="宋体" w:eastAsia="宋体" w:hAnsi="宋体" w:cs="Times New Roman"/>
                <w:b/>
                <w:noProof/>
                <w:kern w:val="44"/>
              </w:rPr>
              <w:t>4.3.</w:t>
            </w:r>
            <w:r w:rsidR="00AA532C">
              <w:rPr>
                <w:noProof/>
                <w:kern w:val="2"/>
                <w:sz w:val="21"/>
              </w:rPr>
              <w:tab/>
            </w:r>
            <w:r w:rsidR="00AA532C" w:rsidRPr="00795F63">
              <w:rPr>
                <w:rStyle w:val="ac"/>
                <w:rFonts w:ascii="宋体" w:eastAsia="宋体" w:hAnsi="宋体" w:cs="宋体" w:hint="eastAsia"/>
                <w:b/>
                <w:noProof/>
                <w:kern w:val="44"/>
              </w:rPr>
              <w:t>投资者权益保护</w:t>
            </w:r>
            <w:r w:rsidR="00AA532C">
              <w:rPr>
                <w:noProof/>
                <w:webHidden/>
              </w:rPr>
              <w:tab/>
            </w:r>
            <w:r>
              <w:rPr>
                <w:noProof/>
                <w:webHidden/>
              </w:rPr>
              <w:fldChar w:fldCharType="begin"/>
            </w:r>
            <w:r w:rsidR="00AA532C">
              <w:rPr>
                <w:noProof/>
                <w:webHidden/>
              </w:rPr>
              <w:instrText xml:space="preserve"> PAGEREF _Toc458770054 \h </w:instrText>
            </w:r>
            <w:r>
              <w:rPr>
                <w:noProof/>
                <w:webHidden/>
              </w:rPr>
            </w:r>
            <w:r>
              <w:rPr>
                <w:noProof/>
                <w:webHidden/>
              </w:rPr>
              <w:fldChar w:fldCharType="separate"/>
            </w:r>
            <w:r w:rsidR="00AA532C">
              <w:rPr>
                <w:noProof/>
                <w:webHidden/>
              </w:rPr>
              <w:t>19</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5" w:history="1">
            <w:r w:rsidR="00AA532C" w:rsidRPr="00795F63">
              <w:rPr>
                <w:rStyle w:val="ac"/>
                <w:rFonts w:ascii="宋体" w:eastAsia="宋体" w:hAnsi="宋体" w:cs="Times New Roman"/>
                <w:b/>
                <w:noProof/>
                <w:kern w:val="44"/>
              </w:rPr>
              <w:t>4.4.</w:t>
            </w:r>
            <w:r w:rsidR="00AA532C">
              <w:rPr>
                <w:noProof/>
                <w:kern w:val="2"/>
                <w:sz w:val="21"/>
              </w:rPr>
              <w:tab/>
            </w:r>
            <w:r w:rsidR="00AA532C" w:rsidRPr="00795F63">
              <w:rPr>
                <w:rStyle w:val="ac"/>
                <w:rFonts w:ascii="宋体" w:eastAsia="宋体" w:hAnsi="宋体" w:cs="宋体" w:hint="eastAsia"/>
                <w:b/>
                <w:noProof/>
                <w:kern w:val="44"/>
              </w:rPr>
              <w:t>带动地方发展</w:t>
            </w:r>
            <w:r w:rsidR="00AA532C">
              <w:rPr>
                <w:noProof/>
                <w:webHidden/>
              </w:rPr>
              <w:tab/>
            </w:r>
            <w:r>
              <w:rPr>
                <w:noProof/>
                <w:webHidden/>
              </w:rPr>
              <w:fldChar w:fldCharType="begin"/>
            </w:r>
            <w:r w:rsidR="00AA532C">
              <w:rPr>
                <w:noProof/>
                <w:webHidden/>
              </w:rPr>
              <w:instrText xml:space="preserve"> PAGEREF _Toc458770055 \h </w:instrText>
            </w:r>
            <w:r>
              <w:rPr>
                <w:noProof/>
                <w:webHidden/>
              </w:rPr>
            </w:r>
            <w:r>
              <w:rPr>
                <w:noProof/>
                <w:webHidden/>
              </w:rPr>
              <w:fldChar w:fldCharType="separate"/>
            </w:r>
            <w:r w:rsidR="00AA532C">
              <w:rPr>
                <w:noProof/>
                <w:webHidden/>
              </w:rPr>
              <w:t>20</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56" w:history="1">
            <w:r w:rsidR="00AA532C" w:rsidRPr="00795F63">
              <w:rPr>
                <w:rStyle w:val="ac"/>
                <w:rFonts w:asciiTheme="minorEastAsia" w:hAnsiTheme="minorEastAsia" w:cs="Times New Roman"/>
                <w:b/>
                <w:noProof/>
                <w:kern w:val="44"/>
              </w:rPr>
              <w:t>5.</w:t>
            </w:r>
            <w:r w:rsidR="00AA532C">
              <w:rPr>
                <w:noProof/>
                <w:kern w:val="2"/>
                <w:sz w:val="21"/>
              </w:rPr>
              <w:tab/>
            </w:r>
            <w:r w:rsidR="00AA532C" w:rsidRPr="00795F63">
              <w:rPr>
                <w:rStyle w:val="ac"/>
                <w:rFonts w:asciiTheme="minorEastAsia" w:hAnsiTheme="minorEastAsia" w:cs="Times New Roman" w:hint="eastAsia"/>
                <w:b/>
                <w:noProof/>
                <w:kern w:val="44"/>
              </w:rPr>
              <w:t>绘就社区和谐的画卷</w:t>
            </w:r>
            <w:r w:rsidR="00AA532C">
              <w:rPr>
                <w:noProof/>
                <w:webHidden/>
              </w:rPr>
              <w:tab/>
            </w:r>
            <w:r>
              <w:rPr>
                <w:noProof/>
                <w:webHidden/>
              </w:rPr>
              <w:fldChar w:fldCharType="begin"/>
            </w:r>
            <w:r w:rsidR="00AA532C">
              <w:rPr>
                <w:noProof/>
                <w:webHidden/>
              </w:rPr>
              <w:instrText xml:space="preserve"> PAGEREF _Toc458770056 \h </w:instrText>
            </w:r>
            <w:r>
              <w:rPr>
                <w:noProof/>
                <w:webHidden/>
              </w:rPr>
            </w:r>
            <w:r>
              <w:rPr>
                <w:noProof/>
                <w:webHidden/>
              </w:rPr>
              <w:fldChar w:fldCharType="separate"/>
            </w:r>
            <w:r w:rsidR="00AA532C">
              <w:rPr>
                <w:noProof/>
                <w:webHidden/>
              </w:rPr>
              <w:t>22</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7" w:history="1">
            <w:r w:rsidR="00AA532C" w:rsidRPr="00795F63">
              <w:rPr>
                <w:rStyle w:val="ac"/>
                <w:rFonts w:ascii="宋体" w:eastAsia="宋体" w:hAnsi="宋体" w:cs="Times New Roman"/>
                <w:b/>
                <w:noProof/>
                <w:kern w:val="44"/>
              </w:rPr>
              <w:t>5.1.</w:t>
            </w:r>
            <w:r w:rsidR="00AA532C">
              <w:rPr>
                <w:noProof/>
                <w:kern w:val="2"/>
                <w:sz w:val="21"/>
              </w:rPr>
              <w:tab/>
            </w:r>
            <w:r w:rsidR="00AA532C" w:rsidRPr="00795F63">
              <w:rPr>
                <w:rStyle w:val="ac"/>
                <w:rFonts w:ascii="宋体" w:eastAsia="宋体" w:hAnsi="宋体" w:cs="宋体" w:hint="eastAsia"/>
                <w:b/>
                <w:noProof/>
                <w:kern w:val="44"/>
              </w:rPr>
              <w:t>保障员工权益</w:t>
            </w:r>
            <w:r w:rsidR="00AA532C">
              <w:rPr>
                <w:noProof/>
                <w:webHidden/>
              </w:rPr>
              <w:tab/>
            </w:r>
            <w:r>
              <w:rPr>
                <w:noProof/>
                <w:webHidden/>
              </w:rPr>
              <w:fldChar w:fldCharType="begin"/>
            </w:r>
            <w:r w:rsidR="00AA532C">
              <w:rPr>
                <w:noProof/>
                <w:webHidden/>
              </w:rPr>
              <w:instrText xml:space="preserve"> PAGEREF _Toc458770057 \h </w:instrText>
            </w:r>
            <w:r>
              <w:rPr>
                <w:noProof/>
                <w:webHidden/>
              </w:rPr>
            </w:r>
            <w:r>
              <w:rPr>
                <w:noProof/>
                <w:webHidden/>
              </w:rPr>
              <w:fldChar w:fldCharType="separate"/>
            </w:r>
            <w:r w:rsidR="00AA532C">
              <w:rPr>
                <w:noProof/>
                <w:webHidden/>
              </w:rPr>
              <w:t>22</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8" w:history="1">
            <w:r w:rsidR="00AA532C" w:rsidRPr="00795F63">
              <w:rPr>
                <w:rStyle w:val="ac"/>
                <w:rFonts w:ascii="宋体" w:eastAsia="宋体" w:hAnsi="宋体" w:cs="Times New Roman"/>
                <w:b/>
                <w:noProof/>
                <w:kern w:val="44"/>
              </w:rPr>
              <w:t>5.2.</w:t>
            </w:r>
            <w:r w:rsidR="00AA532C">
              <w:rPr>
                <w:noProof/>
                <w:kern w:val="2"/>
                <w:sz w:val="21"/>
              </w:rPr>
              <w:tab/>
            </w:r>
            <w:r w:rsidR="00AA532C" w:rsidRPr="00795F63">
              <w:rPr>
                <w:rStyle w:val="ac"/>
                <w:rFonts w:ascii="宋体" w:eastAsia="宋体" w:hAnsi="宋体" w:cs="宋体" w:hint="eastAsia"/>
                <w:b/>
                <w:noProof/>
                <w:kern w:val="44"/>
              </w:rPr>
              <w:t>成就员工价值</w:t>
            </w:r>
            <w:r w:rsidR="00AA532C">
              <w:rPr>
                <w:noProof/>
                <w:webHidden/>
              </w:rPr>
              <w:tab/>
            </w:r>
            <w:r>
              <w:rPr>
                <w:noProof/>
                <w:webHidden/>
              </w:rPr>
              <w:fldChar w:fldCharType="begin"/>
            </w:r>
            <w:r w:rsidR="00AA532C">
              <w:rPr>
                <w:noProof/>
                <w:webHidden/>
              </w:rPr>
              <w:instrText xml:space="preserve"> PAGEREF _Toc458770058 \h </w:instrText>
            </w:r>
            <w:r>
              <w:rPr>
                <w:noProof/>
                <w:webHidden/>
              </w:rPr>
            </w:r>
            <w:r>
              <w:rPr>
                <w:noProof/>
                <w:webHidden/>
              </w:rPr>
              <w:fldChar w:fldCharType="separate"/>
            </w:r>
            <w:r w:rsidR="00AA532C">
              <w:rPr>
                <w:noProof/>
                <w:webHidden/>
              </w:rPr>
              <w:t>23</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59" w:history="1">
            <w:r w:rsidR="00AA532C" w:rsidRPr="00795F63">
              <w:rPr>
                <w:rStyle w:val="ac"/>
                <w:rFonts w:ascii="宋体" w:eastAsia="宋体" w:hAnsi="宋体" w:cs="Times New Roman"/>
                <w:b/>
                <w:noProof/>
                <w:kern w:val="44"/>
              </w:rPr>
              <w:t>5.3.</w:t>
            </w:r>
            <w:r w:rsidR="00AA532C">
              <w:rPr>
                <w:noProof/>
                <w:kern w:val="2"/>
                <w:sz w:val="21"/>
              </w:rPr>
              <w:tab/>
            </w:r>
            <w:r w:rsidR="00AA532C" w:rsidRPr="00795F63">
              <w:rPr>
                <w:rStyle w:val="ac"/>
                <w:rFonts w:ascii="宋体" w:eastAsia="宋体" w:hAnsi="宋体" w:cs="宋体" w:hint="eastAsia"/>
                <w:b/>
                <w:noProof/>
                <w:kern w:val="44"/>
              </w:rPr>
              <w:t>提升员工归属感</w:t>
            </w:r>
            <w:r w:rsidR="00AA532C">
              <w:rPr>
                <w:noProof/>
                <w:webHidden/>
              </w:rPr>
              <w:tab/>
            </w:r>
            <w:r>
              <w:rPr>
                <w:noProof/>
                <w:webHidden/>
              </w:rPr>
              <w:fldChar w:fldCharType="begin"/>
            </w:r>
            <w:r w:rsidR="00AA532C">
              <w:rPr>
                <w:noProof/>
                <w:webHidden/>
              </w:rPr>
              <w:instrText xml:space="preserve"> PAGEREF _Toc458770059 \h </w:instrText>
            </w:r>
            <w:r>
              <w:rPr>
                <w:noProof/>
                <w:webHidden/>
              </w:rPr>
            </w:r>
            <w:r>
              <w:rPr>
                <w:noProof/>
                <w:webHidden/>
              </w:rPr>
              <w:fldChar w:fldCharType="separate"/>
            </w:r>
            <w:r w:rsidR="00AA532C">
              <w:rPr>
                <w:noProof/>
                <w:webHidden/>
              </w:rPr>
              <w:t>24</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60" w:history="1">
            <w:r w:rsidR="00AA532C" w:rsidRPr="00795F63">
              <w:rPr>
                <w:rStyle w:val="ac"/>
                <w:rFonts w:ascii="宋体" w:eastAsia="宋体" w:hAnsi="宋体" w:cs="Times New Roman"/>
                <w:b/>
                <w:noProof/>
                <w:kern w:val="44"/>
              </w:rPr>
              <w:t>5.4.</w:t>
            </w:r>
            <w:r w:rsidR="00AA532C">
              <w:rPr>
                <w:noProof/>
                <w:kern w:val="2"/>
                <w:sz w:val="21"/>
              </w:rPr>
              <w:tab/>
            </w:r>
            <w:r w:rsidR="00AA532C" w:rsidRPr="00795F63">
              <w:rPr>
                <w:rStyle w:val="ac"/>
                <w:rFonts w:ascii="宋体" w:eastAsia="宋体" w:hAnsi="宋体" w:cs="宋体" w:hint="eastAsia"/>
                <w:b/>
                <w:noProof/>
                <w:kern w:val="44"/>
              </w:rPr>
              <w:t>热心公益事业</w:t>
            </w:r>
            <w:r w:rsidR="00AA532C">
              <w:rPr>
                <w:noProof/>
                <w:webHidden/>
              </w:rPr>
              <w:tab/>
            </w:r>
            <w:r>
              <w:rPr>
                <w:noProof/>
                <w:webHidden/>
              </w:rPr>
              <w:fldChar w:fldCharType="begin"/>
            </w:r>
            <w:r w:rsidR="00AA532C">
              <w:rPr>
                <w:noProof/>
                <w:webHidden/>
              </w:rPr>
              <w:instrText xml:space="preserve"> PAGEREF _Toc458770060 \h </w:instrText>
            </w:r>
            <w:r>
              <w:rPr>
                <w:noProof/>
                <w:webHidden/>
              </w:rPr>
            </w:r>
            <w:r>
              <w:rPr>
                <w:noProof/>
                <w:webHidden/>
              </w:rPr>
              <w:fldChar w:fldCharType="separate"/>
            </w:r>
            <w:r w:rsidR="00AA532C">
              <w:rPr>
                <w:noProof/>
                <w:webHidden/>
              </w:rPr>
              <w:t>25</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61" w:history="1">
            <w:r w:rsidR="00AA532C" w:rsidRPr="00795F63">
              <w:rPr>
                <w:rStyle w:val="ac"/>
                <w:rFonts w:asciiTheme="minorEastAsia" w:hAnsiTheme="minorEastAsia" w:cs="Times New Roman"/>
                <w:b/>
                <w:noProof/>
                <w:kern w:val="44"/>
              </w:rPr>
              <w:t>6.</w:t>
            </w:r>
            <w:r w:rsidR="00AA532C">
              <w:rPr>
                <w:noProof/>
                <w:kern w:val="2"/>
                <w:sz w:val="21"/>
              </w:rPr>
              <w:tab/>
            </w:r>
            <w:r w:rsidR="00AA532C" w:rsidRPr="00795F63">
              <w:rPr>
                <w:rStyle w:val="ac"/>
                <w:rFonts w:asciiTheme="minorEastAsia" w:hAnsiTheme="minorEastAsia" w:cs="Times New Roman" w:hint="eastAsia"/>
                <w:b/>
                <w:noProof/>
                <w:kern w:val="44"/>
              </w:rPr>
              <w:t>责任管理</w:t>
            </w:r>
            <w:r w:rsidR="00AA532C">
              <w:rPr>
                <w:noProof/>
                <w:webHidden/>
              </w:rPr>
              <w:tab/>
            </w:r>
            <w:r>
              <w:rPr>
                <w:noProof/>
                <w:webHidden/>
              </w:rPr>
              <w:fldChar w:fldCharType="begin"/>
            </w:r>
            <w:r w:rsidR="00AA532C">
              <w:rPr>
                <w:noProof/>
                <w:webHidden/>
              </w:rPr>
              <w:instrText xml:space="preserve"> PAGEREF _Toc458770061 \h </w:instrText>
            </w:r>
            <w:r>
              <w:rPr>
                <w:noProof/>
                <w:webHidden/>
              </w:rPr>
            </w:r>
            <w:r>
              <w:rPr>
                <w:noProof/>
                <w:webHidden/>
              </w:rPr>
              <w:fldChar w:fldCharType="separate"/>
            </w:r>
            <w:r w:rsidR="00AA532C">
              <w:rPr>
                <w:noProof/>
                <w:webHidden/>
              </w:rPr>
              <w:t>26</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62" w:history="1">
            <w:r w:rsidR="00AA532C" w:rsidRPr="00795F63">
              <w:rPr>
                <w:rStyle w:val="ac"/>
                <w:rFonts w:ascii="宋体" w:eastAsia="宋体" w:hAnsi="宋体" w:cs="Times New Roman"/>
                <w:b/>
                <w:noProof/>
                <w:kern w:val="44"/>
              </w:rPr>
              <w:t>6.1.</w:t>
            </w:r>
            <w:r w:rsidR="00AA532C">
              <w:rPr>
                <w:noProof/>
                <w:kern w:val="2"/>
                <w:sz w:val="21"/>
              </w:rPr>
              <w:tab/>
            </w:r>
            <w:r w:rsidR="00AA532C" w:rsidRPr="00795F63">
              <w:rPr>
                <w:rStyle w:val="ac"/>
                <w:rFonts w:ascii="宋体" w:eastAsia="宋体" w:hAnsi="宋体" w:cs="宋体" w:hint="eastAsia"/>
                <w:b/>
                <w:noProof/>
                <w:kern w:val="44"/>
              </w:rPr>
              <w:t>社会责任组织体系</w:t>
            </w:r>
            <w:r w:rsidR="00AA532C">
              <w:rPr>
                <w:noProof/>
                <w:webHidden/>
              </w:rPr>
              <w:tab/>
            </w:r>
            <w:r>
              <w:rPr>
                <w:noProof/>
                <w:webHidden/>
              </w:rPr>
              <w:fldChar w:fldCharType="begin"/>
            </w:r>
            <w:r w:rsidR="00AA532C">
              <w:rPr>
                <w:noProof/>
                <w:webHidden/>
              </w:rPr>
              <w:instrText xml:space="preserve"> PAGEREF _Toc458770062 \h </w:instrText>
            </w:r>
            <w:r>
              <w:rPr>
                <w:noProof/>
                <w:webHidden/>
              </w:rPr>
            </w:r>
            <w:r>
              <w:rPr>
                <w:noProof/>
                <w:webHidden/>
              </w:rPr>
              <w:fldChar w:fldCharType="separate"/>
            </w:r>
            <w:r w:rsidR="00AA532C">
              <w:rPr>
                <w:noProof/>
                <w:webHidden/>
              </w:rPr>
              <w:t>26</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63" w:history="1">
            <w:r w:rsidR="00AA532C" w:rsidRPr="00795F63">
              <w:rPr>
                <w:rStyle w:val="ac"/>
                <w:rFonts w:ascii="宋体" w:eastAsia="宋体" w:hAnsi="宋体" w:cs="Times New Roman"/>
                <w:b/>
                <w:noProof/>
                <w:kern w:val="44"/>
              </w:rPr>
              <w:t>6.2.</w:t>
            </w:r>
            <w:r w:rsidR="00AA532C">
              <w:rPr>
                <w:noProof/>
                <w:kern w:val="2"/>
                <w:sz w:val="21"/>
              </w:rPr>
              <w:tab/>
            </w:r>
            <w:r w:rsidR="00AA532C" w:rsidRPr="00795F63">
              <w:rPr>
                <w:rStyle w:val="ac"/>
                <w:rFonts w:ascii="宋体" w:eastAsia="宋体" w:hAnsi="宋体" w:cs="宋体" w:hint="eastAsia"/>
                <w:b/>
                <w:noProof/>
                <w:kern w:val="44"/>
              </w:rPr>
              <w:t>社会责任议题管理</w:t>
            </w:r>
            <w:r w:rsidR="00AA532C">
              <w:rPr>
                <w:noProof/>
                <w:webHidden/>
              </w:rPr>
              <w:tab/>
            </w:r>
            <w:r>
              <w:rPr>
                <w:noProof/>
                <w:webHidden/>
              </w:rPr>
              <w:fldChar w:fldCharType="begin"/>
            </w:r>
            <w:r w:rsidR="00AA532C">
              <w:rPr>
                <w:noProof/>
                <w:webHidden/>
              </w:rPr>
              <w:instrText xml:space="preserve"> PAGEREF _Toc458770063 \h </w:instrText>
            </w:r>
            <w:r>
              <w:rPr>
                <w:noProof/>
                <w:webHidden/>
              </w:rPr>
            </w:r>
            <w:r>
              <w:rPr>
                <w:noProof/>
                <w:webHidden/>
              </w:rPr>
              <w:fldChar w:fldCharType="separate"/>
            </w:r>
            <w:r w:rsidR="00AA532C">
              <w:rPr>
                <w:noProof/>
                <w:webHidden/>
              </w:rPr>
              <w:t>26</w:t>
            </w:r>
            <w:r>
              <w:rPr>
                <w:noProof/>
                <w:webHidden/>
              </w:rPr>
              <w:fldChar w:fldCharType="end"/>
            </w:r>
          </w:hyperlink>
        </w:p>
        <w:p w:rsidR="00AA532C" w:rsidRDefault="00176EE6">
          <w:pPr>
            <w:pStyle w:val="2"/>
            <w:tabs>
              <w:tab w:val="left" w:pos="1050"/>
              <w:tab w:val="right" w:leader="dot" w:pos="8296"/>
            </w:tabs>
            <w:rPr>
              <w:noProof/>
              <w:kern w:val="2"/>
              <w:sz w:val="21"/>
            </w:rPr>
          </w:pPr>
          <w:hyperlink w:anchor="_Toc458770064" w:history="1">
            <w:r w:rsidR="00AA532C" w:rsidRPr="00795F63">
              <w:rPr>
                <w:rStyle w:val="ac"/>
                <w:rFonts w:ascii="宋体" w:eastAsia="宋体" w:hAnsi="宋体" w:cs="Times New Roman"/>
                <w:b/>
                <w:noProof/>
                <w:kern w:val="44"/>
              </w:rPr>
              <w:t>6.3.</w:t>
            </w:r>
            <w:r w:rsidR="00AA532C">
              <w:rPr>
                <w:noProof/>
                <w:kern w:val="2"/>
                <w:sz w:val="21"/>
              </w:rPr>
              <w:tab/>
            </w:r>
            <w:r w:rsidR="00AA532C" w:rsidRPr="00795F63">
              <w:rPr>
                <w:rStyle w:val="ac"/>
                <w:rFonts w:ascii="宋体" w:eastAsia="宋体" w:hAnsi="宋体" w:cs="宋体" w:hint="eastAsia"/>
                <w:b/>
                <w:noProof/>
                <w:kern w:val="44"/>
              </w:rPr>
              <w:t>利益相关方沟通</w:t>
            </w:r>
            <w:r w:rsidR="00AA532C">
              <w:rPr>
                <w:noProof/>
                <w:webHidden/>
              </w:rPr>
              <w:tab/>
            </w:r>
            <w:r>
              <w:rPr>
                <w:noProof/>
                <w:webHidden/>
              </w:rPr>
              <w:fldChar w:fldCharType="begin"/>
            </w:r>
            <w:r w:rsidR="00AA532C">
              <w:rPr>
                <w:noProof/>
                <w:webHidden/>
              </w:rPr>
              <w:instrText xml:space="preserve"> PAGEREF _Toc458770064 \h </w:instrText>
            </w:r>
            <w:r>
              <w:rPr>
                <w:noProof/>
                <w:webHidden/>
              </w:rPr>
            </w:r>
            <w:r>
              <w:rPr>
                <w:noProof/>
                <w:webHidden/>
              </w:rPr>
              <w:fldChar w:fldCharType="separate"/>
            </w:r>
            <w:r w:rsidR="00AA532C">
              <w:rPr>
                <w:noProof/>
                <w:webHidden/>
              </w:rPr>
              <w:t>27</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65" w:history="1">
            <w:r w:rsidR="00AA532C" w:rsidRPr="00795F63">
              <w:rPr>
                <w:rStyle w:val="ac"/>
                <w:rFonts w:asciiTheme="minorEastAsia" w:hAnsiTheme="minorEastAsia" w:cs="Times New Roman"/>
                <w:b/>
                <w:noProof/>
                <w:kern w:val="44"/>
              </w:rPr>
              <w:t>7.</w:t>
            </w:r>
            <w:r w:rsidR="00AA532C">
              <w:rPr>
                <w:noProof/>
                <w:kern w:val="2"/>
                <w:sz w:val="21"/>
              </w:rPr>
              <w:tab/>
            </w:r>
            <w:r w:rsidR="00AA532C" w:rsidRPr="00795F63">
              <w:rPr>
                <w:rStyle w:val="ac"/>
                <w:rFonts w:asciiTheme="minorEastAsia" w:hAnsiTheme="minorEastAsia" w:cs="Times New Roman" w:hint="eastAsia"/>
                <w:b/>
                <w:noProof/>
                <w:kern w:val="44"/>
              </w:rPr>
              <w:t>展望</w:t>
            </w:r>
            <w:r w:rsidR="00AA532C" w:rsidRPr="00795F63">
              <w:rPr>
                <w:rStyle w:val="ac"/>
                <w:rFonts w:asciiTheme="minorEastAsia" w:hAnsiTheme="minorEastAsia" w:cs="Times New Roman"/>
                <w:b/>
                <w:noProof/>
                <w:kern w:val="44"/>
              </w:rPr>
              <w:t>2016</w:t>
            </w:r>
            <w:r w:rsidR="00AA532C">
              <w:rPr>
                <w:noProof/>
                <w:webHidden/>
              </w:rPr>
              <w:tab/>
            </w:r>
            <w:r>
              <w:rPr>
                <w:noProof/>
                <w:webHidden/>
              </w:rPr>
              <w:fldChar w:fldCharType="begin"/>
            </w:r>
            <w:r w:rsidR="00AA532C">
              <w:rPr>
                <w:noProof/>
                <w:webHidden/>
              </w:rPr>
              <w:instrText xml:space="preserve"> PAGEREF _Toc458770065 \h </w:instrText>
            </w:r>
            <w:r>
              <w:rPr>
                <w:noProof/>
                <w:webHidden/>
              </w:rPr>
            </w:r>
            <w:r>
              <w:rPr>
                <w:noProof/>
                <w:webHidden/>
              </w:rPr>
              <w:fldChar w:fldCharType="separate"/>
            </w:r>
            <w:r w:rsidR="00AA532C">
              <w:rPr>
                <w:noProof/>
                <w:webHidden/>
              </w:rPr>
              <w:t>28</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66" w:history="1">
            <w:r w:rsidR="00AA532C" w:rsidRPr="00795F63">
              <w:rPr>
                <w:rStyle w:val="ac"/>
                <w:rFonts w:asciiTheme="minorEastAsia" w:hAnsiTheme="minorEastAsia" w:cs="Times New Roman"/>
                <w:b/>
                <w:noProof/>
                <w:kern w:val="44"/>
              </w:rPr>
              <w:t>8.</w:t>
            </w:r>
            <w:r w:rsidR="00AA532C">
              <w:rPr>
                <w:noProof/>
                <w:kern w:val="2"/>
                <w:sz w:val="21"/>
              </w:rPr>
              <w:tab/>
            </w:r>
            <w:r w:rsidR="00AA532C" w:rsidRPr="00795F63">
              <w:rPr>
                <w:rStyle w:val="ac"/>
                <w:rFonts w:asciiTheme="minorEastAsia" w:hAnsiTheme="minorEastAsia" w:cs="Times New Roman" w:hint="eastAsia"/>
                <w:b/>
                <w:noProof/>
                <w:kern w:val="44"/>
              </w:rPr>
              <w:t>专家点评</w:t>
            </w:r>
            <w:r w:rsidR="00AA532C">
              <w:rPr>
                <w:noProof/>
                <w:webHidden/>
              </w:rPr>
              <w:tab/>
            </w:r>
            <w:r>
              <w:rPr>
                <w:noProof/>
                <w:webHidden/>
              </w:rPr>
              <w:fldChar w:fldCharType="begin"/>
            </w:r>
            <w:r w:rsidR="00AA532C">
              <w:rPr>
                <w:noProof/>
                <w:webHidden/>
              </w:rPr>
              <w:instrText xml:space="preserve"> PAGEREF _Toc458770066 \h </w:instrText>
            </w:r>
            <w:r>
              <w:rPr>
                <w:noProof/>
                <w:webHidden/>
              </w:rPr>
            </w:r>
            <w:r>
              <w:rPr>
                <w:noProof/>
                <w:webHidden/>
              </w:rPr>
              <w:fldChar w:fldCharType="separate"/>
            </w:r>
            <w:r w:rsidR="00AA532C">
              <w:rPr>
                <w:noProof/>
                <w:webHidden/>
              </w:rPr>
              <w:t>28</w:t>
            </w:r>
            <w:r>
              <w:rPr>
                <w:noProof/>
                <w:webHidden/>
              </w:rPr>
              <w:fldChar w:fldCharType="end"/>
            </w:r>
          </w:hyperlink>
        </w:p>
        <w:p w:rsidR="00AA532C" w:rsidRDefault="00176EE6">
          <w:pPr>
            <w:pStyle w:val="11"/>
            <w:tabs>
              <w:tab w:val="left" w:pos="440"/>
              <w:tab w:val="right" w:leader="dot" w:pos="8296"/>
            </w:tabs>
            <w:rPr>
              <w:noProof/>
              <w:kern w:val="2"/>
              <w:sz w:val="21"/>
            </w:rPr>
          </w:pPr>
          <w:hyperlink w:anchor="_Toc458770067" w:history="1">
            <w:r w:rsidR="00AA532C" w:rsidRPr="00795F63">
              <w:rPr>
                <w:rStyle w:val="ac"/>
                <w:rFonts w:asciiTheme="minorEastAsia" w:hAnsiTheme="minorEastAsia" w:cs="Times New Roman"/>
                <w:b/>
                <w:noProof/>
                <w:kern w:val="44"/>
              </w:rPr>
              <w:t>9.</w:t>
            </w:r>
            <w:r w:rsidR="00AA532C">
              <w:rPr>
                <w:noProof/>
                <w:kern w:val="2"/>
                <w:sz w:val="21"/>
              </w:rPr>
              <w:tab/>
            </w:r>
            <w:r w:rsidR="00AA532C" w:rsidRPr="00795F63">
              <w:rPr>
                <w:rStyle w:val="ac"/>
                <w:rFonts w:asciiTheme="minorEastAsia" w:hAnsiTheme="minorEastAsia" w:cs="Times New Roman" w:hint="eastAsia"/>
                <w:b/>
                <w:noProof/>
                <w:kern w:val="44"/>
              </w:rPr>
              <w:t>报告指标索引</w:t>
            </w:r>
            <w:r w:rsidR="00AA532C">
              <w:rPr>
                <w:noProof/>
                <w:webHidden/>
              </w:rPr>
              <w:tab/>
            </w:r>
            <w:r>
              <w:rPr>
                <w:noProof/>
                <w:webHidden/>
              </w:rPr>
              <w:fldChar w:fldCharType="begin"/>
            </w:r>
            <w:r w:rsidR="00AA532C">
              <w:rPr>
                <w:noProof/>
                <w:webHidden/>
              </w:rPr>
              <w:instrText xml:space="preserve"> PAGEREF _Toc458770067 \h </w:instrText>
            </w:r>
            <w:r>
              <w:rPr>
                <w:noProof/>
                <w:webHidden/>
              </w:rPr>
            </w:r>
            <w:r>
              <w:rPr>
                <w:noProof/>
                <w:webHidden/>
              </w:rPr>
              <w:fldChar w:fldCharType="separate"/>
            </w:r>
            <w:r w:rsidR="00AA532C">
              <w:rPr>
                <w:noProof/>
                <w:webHidden/>
              </w:rPr>
              <w:t>29</w:t>
            </w:r>
            <w:r>
              <w:rPr>
                <w:noProof/>
                <w:webHidden/>
              </w:rPr>
              <w:fldChar w:fldCharType="end"/>
            </w:r>
          </w:hyperlink>
        </w:p>
        <w:p w:rsidR="00AA532C" w:rsidRDefault="00176EE6">
          <w:pPr>
            <w:pStyle w:val="11"/>
            <w:tabs>
              <w:tab w:val="left" w:pos="630"/>
              <w:tab w:val="right" w:leader="dot" w:pos="8296"/>
            </w:tabs>
            <w:rPr>
              <w:noProof/>
              <w:kern w:val="2"/>
              <w:sz w:val="21"/>
            </w:rPr>
          </w:pPr>
          <w:hyperlink w:anchor="_Toc458770068" w:history="1">
            <w:r w:rsidR="00AA532C" w:rsidRPr="00795F63">
              <w:rPr>
                <w:rStyle w:val="ac"/>
                <w:rFonts w:asciiTheme="minorEastAsia" w:hAnsiTheme="minorEastAsia" w:cs="Times New Roman"/>
                <w:b/>
                <w:noProof/>
                <w:kern w:val="44"/>
              </w:rPr>
              <w:t>10.</w:t>
            </w:r>
            <w:r w:rsidR="00AA532C">
              <w:rPr>
                <w:noProof/>
                <w:kern w:val="2"/>
                <w:sz w:val="21"/>
              </w:rPr>
              <w:tab/>
            </w:r>
            <w:r w:rsidR="00AA532C" w:rsidRPr="00795F63">
              <w:rPr>
                <w:rStyle w:val="ac"/>
                <w:rFonts w:asciiTheme="minorEastAsia" w:hAnsiTheme="minorEastAsia" w:cs="Times New Roman" w:hint="eastAsia"/>
                <w:b/>
                <w:noProof/>
                <w:kern w:val="44"/>
              </w:rPr>
              <w:t>意见反馈表</w:t>
            </w:r>
            <w:r w:rsidR="00AA532C">
              <w:rPr>
                <w:noProof/>
                <w:webHidden/>
              </w:rPr>
              <w:tab/>
            </w:r>
            <w:r>
              <w:rPr>
                <w:noProof/>
                <w:webHidden/>
              </w:rPr>
              <w:fldChar w:fldCharType="begin"/>
            </w:r>
            <w:r w:rsidR="00AA532C">
              <w:rPr>
                <w:noProof/>
                <w:webHidden/>
              </w:rPr>
              <w:instrText xml:space="preserve"> PAGEREF _Toc458770068 \h </w:instrText>
            </w:r>
            <w:r>
              <w:rPr>
                <w:noProof/>
                <w:webHidden/>
              </w:rPr>
            </w:r>
            <w:r>
              <w:rPr>
                <w:noProof/>
                <w:webHidden/>
              </w:rPr>
              <w:fldChar w:fldCharType="separate"/>
            </w:r>
            <w:r w:rsidR="00AA532C">
              <w:rPr>
                <w:noProof/>
                <w:webHidden/>
              </w:rPr>
              <w:t>30</w:t>
            </w:r>
            <w:r>
              <w:rPr>
                <w:noProof/>
                <w:webHidden/>
              </w:rPr>
              <w:fldChar w:fldCharType="end"/>
            </w:r>
          </w:hyperlink>
        </w:p>
        <w:p w:rsidR="00124A9C" w:rsidRPr="00AA532C" w:rsidRDefault="00176EE6" w:rsidP="00124A9C">
          <w:pPr>
            <w:spacing w:line="300" w:lineRule="auto"/>
            <w:rPr>
              <w:rFonts w:asciiTheme="minorEastAsia" w:hAnsiTheme="minorEastAsia"/>
              <w:bCs/>
              <w:szCs w:val="21"/>
              <w:lang w:val="zh-CN"/>
            </w:rPr>
            <w:sectPr w:rsidR="00124A9C" w:rsidRPr="00AA532C">
              <w:pgSz w:w="11906" w:h="16838"/>
              <w:pgMar w:top="1440" w:right="1800" w:bottom="1440" w:left="1800" w:header="851" w:footer="992" w:gutter="0"/>
              <w:cols w:space="425"/>
              <w:docGrid w:type="lines" w:linePitch="312"/>
            </w:sectPr>
          </w:pPr>
          <w:r w:rsidRPr="00124A9C">
            <w:rPr>
              <w:rFonts w:asciiTheme="minorEastAsia" w:hAnsiTheme="minorEastAsia"/>
              <w:bCs/>
              <w:szCs w:val="21"/>
              <w:lang w:val="zh-CN"/>
            </w:rPr>
            <w:fldChar w:fldCharType="end"/>
          </w:r>
        </w:p>
      </w:sdtContent>
    </w:sdt>
    <w:p w:rsidR="00124A9C" w:rsidRPr="00124A9C" w:rsidRDefault="00124A9C" w:rsidP="00F65398">
      <w:pPr>
        <w:keepNext/>
        <w:keepLines/>
        <w:adjustRightInd w:val="0"/>
        <w:snapToGrid w:val="0"/>
        <w:spacing w:line="300" w:lineRule="auto"/>
        <w:ind w:left="567"/>
        <w:outlineLvl w:val="0"/>
        <w:rPr>
          <w:rFonts w:asciiTheme="minorEastAsia" w:hAnsiTheme="minorEastAsia" w:cs="Times New Roman"/>
          <w:b/>
          <w:kern w:val="44"/>
          <w:sz w:val="32"/>
          <w:szCs w:val="32"/>
        </w:rPr>
      </w:pPr>
      <w:bookmarkStart w:id="1" w:name="_Toc458770036"/>
      <w:r w:rsidRPr="00124A9C">
        <w:rPr>
          <w:rFonts w:asciiTheme="minorEastAsia" w:hAnsiTheme="minorEastAsia" w:cs="Times New Roman" w:hint="eastAsia"/>
          <w:b/>
          <w:kern w:val="44"/>
          <w:sz w:val="32"/>
          <w:szCs w:val="32"/>
        </w:rPr>
        <w:lastRenderedPageBreak/>
        <w:t>关于本报告</w:t>
      </w:r>
      <w:bookmarkEnd w:id="1"/>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时间范围</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2015年1月1日-12月31日，部分内容追溯以往年份。</w:t>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组织范围</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利民化工股份有限公司。为便于表述和方便阅读，在本报告中以“利民股份”、“公司”、“企业”和“我们”表示。</w:t>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发布情况</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本报告是利民股份发布的第一份社会责任报告。未来我们将按年度发布报告。</w:t>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编制依据</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国际标准化组织ISO26000：2010《社会责任指南》</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全球报告倡议组织《可持续发展报告指南》（G4）</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中国社会科学院《中国企业社会责任报告编写指南》（CASS-CSR3.0）</w:t>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数据说明</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本报告引用的数据均来自于公司正式文件、统计报告与财务报告，以及经由公司社会责任管理体系统计、汇总与审核的各职能部门、各经营单位的可持续发展相关信息。图片等素材由利民股份员工及合作伙伴提供，目的为展现企业员工及合作伙伴的形象，不用于商业用途。</w:t>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报告获取</w:t>
      </w:r>
    </w:p>
    <w:p w:rsidR="00F65398"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本报告为中文版，您可以在利民化工股份有限公司网站下载本报告的电子文档，网址为：http://www.chinalimin.com/。</w:t>
      </w:r>
    </w:p>
    <w:p w:rsidR="00F65398" w:rsidRDefault="00F65398">
      <w:pPr>
        <w:widowControl/>
        <w:jc w:val="left"/>
        <w:rPr>
          <w:rFonts w:asciiTheme="minorEastAsia" w:hAnsiTheme="minorEastAsia"/>
          <w:szCs w:val="21"/>
        </w:rPr>
      </w:pPr>
      <w:r>
        <w:rPr>
          <w:rFonts w:asciiTheme="minorEastAsia" w:hAnsiTheme="minorEastAsia"/>
          <w:szCs w:val="21"/>
        </w:rPr>
        <w:br w:type="page"/>
      </w:r>
    </w:p>
    <w:p w:rsidR="00124A9C" w:rsidRPr="00F65398" w:rsidRDefault="00124A9C" w:rsidP="00124A9C">
      <w:pPr>
        <w:pStyle w:val="10"/>
        <w:spacing w:line="300" w:lineRule="auto"/>
        <w:rPr>
          <w:rFonts w:asciiTheme="minorEastAsia" w:hAnsiTheme="minorEastAsia"/>
          <w:szCs w:val="21"/>
        </w:rPr>
      </w:pPr>
    </w:p>
    <w:p w:rsidR="001905C5" w:rsidRPr="00124A9C" w:rsidRDefault="001905C5" w:rsidP="00F65398">
      <w:pPr>
        <w:keepNext/>
        <w:keepLines/>
        <w:adjustRightInd w:val="0"/>
        <w:snapToGrid w:val="0"/>
        <w:spacing w:line="300" w:lineRule="auto"/>
        <w:ind w:left="567"/>
        <w:outlineLvl w:val="0"/>
        <w:rPr>
          <w:rFonts w:asciiTheme="minorEastAsia" w:hAnsiTheme="minorEastAsia" w:cs="Times New Roman"/>
          <w:b/>
          <w:kern w:val="44"/>
          <w:sz w:val="32"/>
          <w:szCs w:val="32"/>
        </w:rPr>
      </w:pPr>
      <w:bookmarkStart w:id="2" w:name="_Toc458770037"/>
      <w:r w:rsidRPr="00124A9C">
        <w:rPr>
          <w:rFonts w:asciiTheme="minorEastAsia" w:hAnsiTheme="minorEastAsia" w:cs="Times New Roman" w:hint="eastAsia"/>
          <w:b/>
          <w:kern w:val="44"/>
          <w:sz w:val="32"/>
          <w:szCs w:val="32"/>
        </w:rPr>
        <w:t>高管致辞</w:t>
      </w:r>
      <w:bookmarkEnd w:id="2"/>
    </w:p>
    <w:p w:rsidR="00AA532C" w:rsidRDefault="00AA532C" w:rsidP="00124A9C">
      <w:pPr>
        <w:pStyle w:val="10"/>
        <w:spacing w:line="300" w:lineRule="auto"/>
        <w:rPr>
          <w:rFonts w:asciiTheme="minorEastAsia" w:hAnsiTheme="minorEastAsia"/>
          <w:szCs w:val="21"/>
        </w:rPr>
      </w:pPr>
    </w:p>
    <w:p w:rsidR="00AA532C" w:rsidRPr="00AA532C" w:rsidRDefault="00AA532C" w:rsidP="00AA532C">
      <w:pPr>
        <w:pStyle w:val="10"/>
        <w:pBdr>
          <w:top w:val="single" w:sz="4" w:space="1" w:color="auto"/>
          <w:left w:val="single" w:sz="4" w:space="4" w:color="auto"/>
          <w:bottom w:val="single" w:sz="4" w:space="1" w:color="auto"/>
          <w:right w:val="single" w:sz="4" w:space="4" w:color="auto"/>
        </w:pBdr>
        <w:spacing w:line="300" w:lineRule="auto"/>
        <w:ind w:firstLine="422"/>
        <w:jc w:val="center"/>
        <w:rPr>
          <w:rFonts w:asciiTheme="minorEastAsia" w:hAnsiTheme="minorEastAsia"/>
          <w:b/>
          <w:szCs w:val="21"/>
        </w:rPr>
      </w:pPr>
      <w:r w:rsidRPr="00AA532C">
        <w:rPr>
          <w:rFonts w:asciiTheme="minorEastAsia" w:hAnsiTheme="minorEastAsia" w:hint="eastAsia"/>
          <w:b/>
          <w:szCs w:val="21"/>
        </w:rPr>
        <w:t>实现公司运营的自动化与智能化，</w:t>
      </w:r>
    </w:p>
    <w:p w:rsidR="00AA532C" w:rsidRPr="00AA532C" w:rsidRDefault="00AA532C" w:rsidP="00AA532C">
      <w:pPr>
        <w:pStyle w:val="10"/>
        <w:pBdr>
          <w:top w:val="single" w:sz="4" w:space="1" w:color="auto"/>
          <w:left w:val="single" w:sz="4" w:space="4" w:color="auto"/>
          <w:bottom w:val="single" w:sz="4" w:space="1" w:color="auto"/>
          <w:right w:val="single" w:sz="4" w:space="4" w:color="auto"/>
        </w:pBdr>
        <w:spacing w:line="300" w:lineRule="auto"/>
        <w:ind w:firstLine="422"/>
        <w:jc w:val="center"/>
        <w:rPr>
          <w:rFonts w:asciiTheme="minorEastAsia" w:hAnsiTheme="minorEastAsia"/>
          <w:b/>
          <w:szCs w:val="21"/>
        </w:rPr>
      </w:pPr>
      <w:r w:rsidRPr="00AA532C">
        <w:rPr>
          <w:rFonts w:asciiTheme="minorEastAsia" w:hAnsiTheme="minorEastAsia" w:hint="eastAsia"/>
          <w:b/>
          <w:szCs w:val="21"/>
        </w:rPr>
        <w:t>全面提升自身综合发展实力，</w:t>
      </w:r>
    </w:p>
    <w:p w:rsidR="00AA532C" w:rsidRDefault="00AA532C" w:rsidP="00AA532C">
      <w:pPr>
        <w:pStyle w:val="10"/>
        <w:pBdr>
          <w:top w:val="single" w:sz="4" w:space="1" w:color="auto"/>
          <w:left w:val="single" w:sz="4" w:space="4" w:color="auto"/>
          <w:bottom w:val="single" w:sz="4" w:space="1" w:color="auto"/>
          <w:right w:val="single" w:sz="4" w:space="4" w:color="auto"/>
        </w:pBdr>
        <w:spacing w:line="300" w:lineRule="auto"/>
        <w:ind w:firstLine="422"/>
        <w:jc w:val="center"/>
        <w:rPr>
          <w:rFonts w:asciiTheme="minorEastAsia" w:hAnsiTheme="minorEastAsia"/>
          <w:b/>
          <w:szCs w:val="21"/>
        </w:rPr>
      </w:pPr>
      <w:r w:rsidRPr="00AA532C">
        <w:rPr>
          <w:rFonts w:asciiTheme="minorEastAsia" w:hAnsiTheme="minorEastAsia" w:hint="eastAsia"/>
          <w:b/>
          <w:szCs w:val="21"/>
        </w:rPr>
        <w:t>与利益相关方携手开创可持续发展事业的新篇章！</w:t>
      </w:r>
    </w:p>
    <w:p w:rsidR="00AA532C" w:rsidRPr="00AA532C" w:rsidRDefault="00AA532C" w:rsidP="00AA532C">
      <w:pPr>
        <w:pStyle w:val="10"/>
        <w:spacing w:line="300" w:lineRule="auto"/>
        <w:ind w:firstLine="422"/>
        <w:jc w:val="center"/>
        <w:rPr>
          <w:rFonts w:asciiTheme="minorEastAsia" w:hAnsiTheme="minorEastAsia"/>
          <w:b/>
          <w:szCs w:val="21"/>
        </w:rPr>
      </w:pP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全球农药市场经过数十年的发展后逐渐进入较为成熟的阶段，伴随全球人口增加，粮食需求增长，全球气候异常导致的病、虫、草害增多以及转基因作物的飞速发展，未来行业前景依然看好。近年来，随着我国政府对农业支持力度的加大，现代化农业集约化经营、农业种植收益提高、农业互联网模式变革对农药的需求也稳步增长，带动了农药行业的发展。</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w:t>
      </w:r>
      <w:r w:rsidR="001557A9">
        <w:rPr>
          <w:rFonts w:asciiTheme="minorEastAsia" w:hAnsiTheme="minorEastAsia" w:hint="eastAsia"/>
          <w:szCs w:val="21"/>
        </w:rPr>
        <w:t>年是利民股份正式成为上市企业</w:t>
      </w:r>
      <w:r w:rsidRPr="00124A9C">
        <w:rPr>
          <w:rFonts w:asciiTheme="minorEastAsia" w:hAnsiTheme="minorEastAsia" w:hint="eastAsia"/>
          <w:szCs w:val="21"/>
        </w:rPr>
        <w:t>后的第一年。在整体经济形势普遍下滑的不利情况下，公司积极应对内外部环境的变化，抢抓市场机遇，充分发挥主导产品品牌、新产品产能以及环保优势，取得良好的经营业绩。公司实现营业收入8.35亿元，同比增长10.10%。</w:t>
      </w:r>
    </w:p>
    <w:p w:rsidR="001905C5" w:rsidRPr="00124A9C" w:rsidRDefault="001A0CF4" w:rsidP="00124A9C">
      <w:pPr>
        <w:pStyle w:val="10"/>
        <w:spacing w:line="300" w:lineRule="auto"/>
        <w:rPr>
          <w:rFonts w:asciiTheme="minorEastAsia" w:hAnsiTheme="minorEastAsia"/>
          <w:szCs w:val="21"/>
        </w:rPr>
      </w:pPr>
      <w:r>
        <w:rPr>
          <w:rFonts w:asciiTheme="minorEastAsia" w:hAnsiTheme="minorEastAsia" w:hint="eastAsia"/>
          <w:szCs w:val="21"/>
        </w:rPr>
        <w:t>“所求之利回报于民”,</w:t>
      </w:r>
      <w:r w:rsidR="001905C5" w:rsidRPr="00124A9C">
        <w:rPr>
          <w:rFonts w:asciiTheme="minorEastAsia" w:hAnsiTheme="minorEastAsia" w:hint="eastAsia"/>
          <w:szCs w:val="21"/>
        </w:rPr>
        <w:t>公司将社会责任视为企业基因的一部分，积极承担作为上市企业的责任，保护中小投资者权益。调整产品结构，做优做精现有产品，通过技术创新实现升级换代。2015年，代森锰锌技术创新取得新突破，极大提高产品的市场竞争力，“利民”牌80%代森锰锌可湿性粉剂摘得2014年中国植保市场杀菌剂品牌销售排行桂冠，扭转长期以来该产品大而不强的被动局面。不断完善安全环境管理体系，推动安全、低碳发展，致力建设美丽中国。其中自主研发的污水处理技术及应用工艺，获国务院“国家科学技术进步二等奖”，“含氨废水综合治理的方法”获国家发明专利。全面保障员工基本权益，为员工提供广阔的发展平台，努力实现企业与员工共同成长。积极投身社会公益事业，以自身的可持续发展促进社会和谐、推动社会进步。</w:t>
      </w:r>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未来，公司将以更加开放的胸襟，整合更多的社会资源，继续深入推进企业的升级和转型，按照《中国制造2025》指导思想，实现公司运营的自动化与智能化，全面提升自身综合发展实力，与利益相关方携手开创可持续发展事业的新篇章！</w:t>
      </w:r>
    </w:p>
    <w:p w:rsidR="00F65398" w:rsidRPr="00124A9C" w:rsidRDefault="00F65398" w:rsidP="00F65398">
      <w:pPr>
        <w:pStyle w:val="10"/>
        <w:spacing w:line="300" w:lineRule="auto"/>
        <w:jc w:val="right"/>
        <w:rPr>
          <w:rFonts w:asciiTheme="minorEastAsia" w:hAnsiTheme="minorEastAsia"/>
          <w:szCs w:val="21"/>
        </w:rPr>
      </w:pPr>
      <w:r>
        <w:rPr>
          <w:noProof/>
        </w:rPr>
        <w:drawing>
          <wp:inline distT="0" distB="0" distL="0" distR="0">
            <wp:extent cx="1038095" cy="780952"/>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38095" cy="780952"/>
                    </a:xfrm>
                    <a:prstGeom prst="rect">
                      <a:avLst/>
                    </a:prstGeom>
                  </pic:spPr>
                </pic:pic>
              </a:graphicData>
            </a:graphic>
          </wp:inline>
        </w:drawing>
      </w:r>
    </w:p>
    <w:p w:rsidR="00F65398" w:rsidRDefault="00F65398" w:rsidP="00124A9C">
      <w:pPr>
        <w:pStyle w:val="10"/>
        <w:spacing w:line="300" w:lineRule="auto"/>
        <w:rPr>
          <w:rFonts w:asciiTheme="minorEastAsia" w:hAnsiTheme="minorEastAsia"/>
          <w:szCs w:val="21"/>
        </w:rPr>
      </w:pPr>
    </w:p>
    <w:p w:rsidR="001905C5" w:rsidRDefault="00F65398" w:rsidP="00F65398">
      <w:pPr>
        <w:pStyle w:val="10"/>
        <w:spacing w:line="300" w:lineRule="auto"/>
        <w:jc w:val="right"/>
        <w:rPr>
          <w:rFonts w:asciiTheme="minorEastAsia" w:hAnsiTheme="minorEastAsia"/>
          <w:szCs w:val="21"/>
        </w:rPr>
      </w:pPr>
      <w:r>
        <w:rPr>
          <w:rFonts w:asciiTheme="minorEastAsia" w:hAnsiTheme="minorEastAsia" w:hint="eastAsia"/>
          <w:szCs w:val="21"/>
        </w:rPr>
        <w:t>——</w:t>
      </w:r>
      <w:r w:rsidR="001905C5" w:rsidRPr="00124A9C">
        <w:rPr>
          <w:rFonts w:asciiTheme="minorEastAsia" w:hAnsiTheme="minorEastAsia" w:hint="eastAsia"/>
          <w:szCs w:val="21"/>
        </w:rPr>
        <w:t>利民化工股份有限公司董事长</w:t>
      </w:r>
    </w:p>
    <w:p w:rsidR="00F65398" w:rsidRPr="00124A9C" w:rsidRDefault="00F65398" w:rsidP="00124A9C">
      <w:pPr>
        <w:pStyle w:val="10"/>
        <w:spacing w:line="300" w:lineRule="auto"/>
        <w:rPr>
          <w:rFonts w:asciiTheme="minorEastAsia" w:hAnsiTheme="minorEastAsia"/>
          <w:szCs w:val="21"/>
        </w:rPr>
      </w:pPr>
    </w:p>
    <w:p w:rsidR="001905C5" w:rsidRPr="00F65398" w:rsidRDefault="00F65398" w:rsidP="001557A9">
      <w:pPr>
        <w:keepNext/>
        <w:keepLines/>
        <w:numPr>
          <w:ilvl w:val="0"/>
          <w:numId w:val="2"/>
        </w:numPr>
        <w:adjustRightInd w:val="0"/>
        <w:snapToGrid w:val="0"/>
        <w:spacing w:beforeLines="50" w:line="360" w:lineRule="auto"/>
        <w:outlineLvl w:val="0"/>
        <w:rPr>
          <w:rFonts w:ascii="宋体" w:eastAsia="宋体" w:hAnsi="宋体" w:cs="Times New Roman"/>
          <w:b/>
          <w:color w:val="0D0D0D"/>
          <w:kern w:val="44"/>
          <w:sz w:val="32"/>
          <w:szCs w:val="20"/>
        </w:rPr>
      </w:pPr>
      <w:bookmarkStart w:id="3" w:name="_Toc458770038"/>
      <w:r w:rsidRPr="00124A9C">
        <w:rPr>
          <w:rFonts w:asciiTheme="minorEastAsia" w:hAnsiTheme="minorEastAsia" w:cs="Times New Roman" w:hint="eastAsia"/>
          <w:b/>
          <w:kern w:val="44"/>
          <w:sz w:val="32"/>
          <w:szCs w:val="32"/>
        </w:rPr>
        <w:lastRenderedPageBreak/>
        <w:t>关于我们</w:t>
      </w:r>
      <w:bookmarkEnd w:id="3"/>
    </w:p>
    <w:p w:rsid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4" w:name="_Toc458770039"/>
      <w:r>
        <w:rPr>
          <w:rFonts w:ascii="宋体" w:eastAsia="宋体" w:hAnsi="宋体" w:cs="宋体" w:hint="eastAsia"/>
          <w:b/>
          <w:color w:val="0D0D0D"/>
          <w:kern w:val="44"/>
          <w:sz w:val="28"/>
          <w:szCs w:val="28"/>
        </w:rPr>
        <w:t>公司简介</w:t>
      </w:r>
      <w:bookmarkEnd w:id="4"/>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化工股份有限公司（以下简称“公司”）是国家定点农药制造骨干企业、中国农药工业50强企业和国家高新技术企业。公司的前身为成立于1996年的利民化工有限责任公司，于2004年进行所有制改革，由集体所有制企业改制为民营企业，于2009年整体变更为股份有限公司，于2015年1月在深圳证券交易所挂牌上市，股票代码：002734。公司总部设在江苏省新沂市，注册资本13000万元，员工1000余人。</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秉承“所求之利回报于民”的企业核心价值观和“依靠科技和管理进步，塑造优质产品和服务，推动植保科技发展”的经营理念，主要从事农药原药、剂型的研发、生产和销售，主要产品均为“高效、低毒、低残留”的农药产品，包括代森类、霜脲氰、三乙膦酸铝、嘧霉胺、威百亩等原药及制剂，销售规模居国内同行业前列。公司注重国际市场开发，市场覆盖全球70多个国家和地区，位列中国农药出口额30强。</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利民股份拥有国家级CNAS（中国合格评定国家认可委员会）实验室、省级企业技术中心、江苏省杀菌剂工程技术研究中心和国家级博士后工作站，主要产品生产技术处于国际先进或国内领先水平。</w:t>
      </w:r>
    </w:p>
    <w:p w:rsidR="00950C8E" w:rsidRDefault="00950C8E" w:rsidP="00124A9C">
      <w:pPr>
        <w:pStyle w:val="10"/>
        <w:spacing w:line="300" w:lineRule="auto"/>
        <w:rPr>
          <w:rFonts w:asciiTheme="minorEastAsia" w:hAnsiTheme="minorEastAsia"/>
          <w:szCs w:val="21"/>
        </w:rPr>
      </w:pP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公司拥有5个子公司和2个参股公司：</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■4个全资子公司--南京利民化工有限责任公司、江苏新能植物保护公司、利民化工股份（柬埔寨）有限公司、新沂小蜜蜂农业开发有限公司。</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■1个控股子公司--坦桑尼亚利丰公司。</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■2个参股公司--江苏新河农用化工有限公司、新沂泰禾化工有限公司。</w:t>
      </w:r>
    </w:p>
    <w:p w:rsidR="00950C8E" w:rsidRDefault="00950C8E" w:rsidP="00124A9C">
      <w:pPr>
        <w:pStyle w:val="10"/>
        <w:spacing w:line="300" w:lineRule="auto"/>
        <w:rPr>
          <w:rFonts w:asciiTheme="minorEastAsia" w:hAnsiTheme="minorEastAsia"/>
          <w:szCs w:val="21"/>
        </w:rPr>
      </w:pP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月27日，公司成功登陆深圳证券交易所中小板，首次发行A股股票（股票代码：002734），为公司带来强大的生命力和持续发展动力。在“做专、做精、做强”发展理念的指引下，利民股份正向“亚洲最好，世界一流”的目标阔步前进。</w:t>
      </w:r>
    </w:p>
    <w:p w:rsidR="00950C8E" w:rsidRDefault="00950C8E" w:rsidP="00124A9C">
      <w:pPr>
        <w:pStyle w:val="10"/>
        <w:spacing w:line="300" w:lineRule="auto"/>
        <w:rPr>
          <w:rFonts w:asciiTheme="minorEastAsia" w:hAnsiTheme="minorEastAsia"/>
          <w:szCs w:val="21"/>
        </w:rPr>
      </w:pP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t>主要财务指标(单位：万元)</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4933950" cy="156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933950" cy="1562100"/>
                    </a:xfrm>
                    <a:prstGeom prst="rect">
                      <a:avLst/>
                    </a:prstGeom>
                  </pic:spPr>
                </pic:pic>
              </a:graphicData>
            </a:graphic>
          </wp:inline>
        </w:drawing>
      </w:r>
    </w:p>
    <w:p w:rsidR="001905C5" w:rsidRPr="00AA532C" w:rsidRDefault="001905C5" w:rsidP="00AA532C">
      <w:pPr>
        <w:pStyle w:val="10"/>
        <w:spacing w:line="300" w:lineRule="auto"/>
        <w:ind w:firstLine="422"/>
        <w:rPr>
          <w:rFonts w:asciiTheme="minorEastAsia" w:hAnsiTheme="minorEastAsia"/>
          <w:b/>
          <w:szCs w:val="21"/>
        </w:rPr>
      </w:pPr>
      <w:r w:rsidRPr="00AA532C">
        <w:rPr>
          <w:rFonts w:asciiTheme="minorEastAsia" w:hAnsiTheme="minorEastAsia" w:hint="eastAsia"/>
          <w:b/>
          <w:szCs w:val="21"/>
        </w:rPr>
        <w:lastRenderedPageBreak/>
        <w:t>利民股份近四年营业收入（亿元）</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695700" cy="15144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695700" cy="1514475"/>
                    </a:xfrm>
                    <a:prstGeom prst="rect">
                      <a:avLst/>
                    </a:prstGeom>
                  </pic:spPr>
                </pic:pic>
              </a:graphicData>
            </a:graphic>
          </wp:inline>
        </w:drawing>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5" w:name="_Toc458770040"/>
      <w:r w:rsidRPr="00124A9C">
        <w:rPr>
          <w:rFonts w:ascii="宋体" w:eastAsia="宋体" w:hAnsi="宋体" w:cs="宋体" w:hint="eastAsia"/>
          <w:b/>
          <w:color w:val="0D0D0D"/>
          <w:kern w:val="44"/>
          <w:sz w:val="28"/>
          <w:szCs w:val="28"/>
        </w:rPr>
        <w:t>发展历程</w:t>
      </w:r>
      <w:bookmarkEnd w:id="5"/>
    </w:p>
    <w:p w:rsidR="001905C5" w:rsidRPr="00F65398" w:rsidRDefault="001905C5" w:rsidP="00F65398">
      <w:pPr>
        <w:pStyle w:val="10"/>
        <w:spacing w:line="300" w:lineRule="auto"/>
        <w:ind w:firstLine="422"/>
        <w:rPr>
          <w:rFonts w:asciiTheme="minorEastAsia" w:hAnsiTheme="minorEastAsia"/>
          <w:b/>
          <w:szCs w:val="21"/>
        </w:rPr>
      </w:pPr>
      <w:r w:rsidRPr="00F65398">
        <w:rPr>
          <w:rFonts w:asciiTheme="minorEastAsia" w:hAnsiTheme="minorEastAsia" w:hint="eastAsia"/>
          <w:b/>
          <w:szCs w:val="21"/>
        </w:rPr>
        <w:t>艰苦创业（1990）</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★1990年4月，年产300吨代森锰锌装置投产试车成功。</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茁壮成长（1991-1996）</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★1993年5月，与长沙化工研究所合作建设年产100吨百菌清原药装置。</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★1994年6月，兼并新沂塑料厂。</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★1994年8月，接管新沂市化工研究所。</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★1995年5月，与江苏农用化工有限公司、香港泰禾有限公司合资兴建年产400吨百菌清生产线，组建新河农用化工有限公司。</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★1996年12月，新沂利民化工厂改制为利民化工有限责任公司。</w:t>
      </w:r>
    </w:p>
    <w:p w:rsidR="00950C8E" w:rsidRDefault="00950C8E" w:rsidP="00F65398">
      <w:pPr>
        <w:pStyle w:val="10"/>
        <w:spacing w:line="300" w:lineRule="auto"/>
        <w:ind w:firstLine="422"/>
        <w:rPr>
          <w:rFonts w:asciiTheme="minorEastAsia" w:hAnsiTheme="minorEastAsia"/>
          <w:b/>
          <w:szCs w:val="21"/>
        </w:rPr>
      </w:pPr>
    </w:p>
    <w:p w:rsidR="001905C5" w:rsidRPr="00F65398" w:rsidRDefault="001905C5" w:rsidP="00F65398">
      <w:pPr>
        <w:pStyle w:val="10"/>
        <w:spacing w:line="300" w:lineRule="auto"/>
        <w:ind w:firstLine="422"/>
        <w:rPr>
          <w:rFonts w:asciiTheme="minorEastAsia" w:hAnsiTheme="minorEastAsia"/>
          <w:b/>
          <w:szCs w:val="21"/>
        </w:rPr>
      </w:pPr>
      <w:r w:rsidRPr="00F65398">
        <w:rPr>
          <w:rFonts w:asciiTheme="minorEastAsia" w:hAnsiTheme="minorEastAsia" w:hint="eastAsia"/>
          <w:b/>
          <w:szCs w:val="21"/>
        </w:rPr>
        <w:t>固本强根（1997-2003）</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★1997年，代森锰锌获中国科技之光中华名品奖，霜脲氰获国家级重点新产品奖。</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★1998年11月，氰乙酸工程开工建设。</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★2000年，“液膜分离回收废水中高浓度酸氰技术及应用”成果获“全国科学进步奖”。</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★2001年5月，LHC-20汽流粉碎机组投入运行。</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★2002年6月，年产10000吨代森锰锌原药工程在新沂经济开发区隆重奠基。</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★2003年2月，年产500吨乙膦铝原药项目投产。</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★2003年12月，年产10000吨代森锰锌原药工程竣工投产。</w:t>
      </w:r>
    </w:p>
    <w:p w:rsidR="00950C8E" w:rsidRDefault="00950C8E" w:rsidP="00F65398">
      <w:pPr>
        <w:pStyle w:val="10"/>
        <w:spacing w:line="300" w:lineRule="auto"/>
        <w:ind w:firstLine="422"/>
        <w:rPr>
          <w:rFonts w:asciiTheme="minorEastAsia" w:hAnsiTheme="minorEastAsia"/>
          <w:b/>
          <w:szCs w:val="21"/>
        </w:rPr>
      </w:pPr>
    </w:p>
    <w:p w:rsidR="001905C5" w:rsidRPr="00F65398" w:rsidRDefault="001905C5" w:rsidP="00F65398">
      <w:pPr>
        <w:pStyle w:val="10"/>
        <w:spacing w:line="300" w:lineRule="auto"/>
        <w:ind w:firstLine="422"/>
        <w:rPr>
          <w:rFonts w:asciiTheme="minorEastAsia" w:hAnsiTheme="minorEastAsia"/>
          <w:b/>
          <w:szCs w:val="21"/>
        </w:rPr>
      </w:pPr>
      <w:r w:rsidRPr="00F65398">
        <w:rPr>
          <w:rFonts w:asciiTheme="minorEastAsia" w:hAnsiTheme="minorEastAsia" w:hint="eastAsia"/>
          <w:b/>
          <w:szCs w:val="21"/>
        </w:rPr>
        <w:t>变革创新（2004-2009）</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★2004年5月，与苏州国信集团、乌干达GPEENEVER公司合作兴建的利丰公司在坦桑尼亚开工建设。</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★2005年12月，多功能中试车间开工建设。</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★2005年，非洲利丰公司成立。</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★2006年6月，技术中心被认定为省级企业技术中心。</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★2007年，获中国农药行业50强称号。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lastRenderedPageBreak/>
        <w:t>★2007年9月，硫酸铵工程建成投产。</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★2008年1月，年产1000吨嘧霉胺原药项目被列入获国家级火炬计划。</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★2008年5月，年产2000吨丙二胺项目被列入国家级星火计划。</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★2008年11月，年产5000吨丙森锌项目被列入2008—2009年度国家火炬计划。</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★2009年7月，获国家高新技术企业称号。转型升级（2010-2014）★2010年10月，获中国农药工业协会“农药行业出口贸易诚信十佳单位”称号。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★2012年10月，获中国农药工业协会“中国农药行业市场开拓奖”。</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★2013年7月，“代森锰锌干燥及含氨废水综合治理技术”列入《江苏省重点推广应用的新技术新产品目录》。</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★2013年8月，设立国家级博士后科研工作站。</w:t>
      </w:r>
    </w:p>
    <w:p w:rsidR="00950C8E" w:rsidRDefault="001905C5" w:rsidP="00F65398">
      <w:pPr>
        <w:pStyle w:val="10"/>
        <w:spacing w:line="300" w:lineRule="auto"/>
        <w:ind w:leftChars="200" w:left="420" w:firstLineChars="0" w:firstLine="0"/>
        <w:rPr>
          <w:rFonts w:asciiTheme="minorEastAsia" w:hAnsiTheme="minorEastAsia"/>
          <w:szCs w:val="21"/>
        </w:rPr>
      </w:pPr>
      <w:r w:rsidRPr="00124A9C">
        <w:rPr>
          <w:rFonts w:asciiTheme="minorEastAsia" w:hAnsiTheme="minorEastAsia" w:hint="eastAsia"/>
          <w:szCs w:val="21"/>
        </w:rPr>
        <w:t>★2014年10月，获中国农药工业协会“2013年度中国农药出口额30强”企业称号。</w:t>
      </w:r>
    </w:p>
    <w:p w:rsidR="00950C8E" w:rsidRDefault="00950C8E" w:rsidP="00F65398">
      <w:pPr>
        <w:pStyle w:val="10"/>
        <w:spacing w:line="300" w:lineRule="auto"/>
        <w:ind w:leftChars="200" w:left="420" w:firstLineChars="0" w:firstLine="0"/>
        <w:rPr>
          <w:rFonts w:asciiTheme="minorEastAsia" w:hAnsiTheme="minorEastAsia"/>
          <w:szCs w:val="21"/>
        </w:rPr>
      </w:pPr>
    </w:p>
    <w:p w:rsidR="00F65398" w:rsidRDefault="001905C5" w:rsidP="00F65398">
      <w:pPr>
        <w:pStyle w:val="10"/>
        <w:spacing w:line="300" w:lineRule="auto"/>
        <w:ind w:leftChars="200" w:left="420" w:firstLineChars="0" w:firstLine="0"/>
        <w:rPr>
          <w:rFonts w:asciiTheme="minorEastAsia" w:hAnsiTheme="minorEastAsia"/>
          <w:szCs w:val="21"/>
        </w:rPr>
      </w:pPr>
      <w:r w:rsidRPr="00F65398">
        <w:rPr>
          <w:rFonts w:asciiTheme="minorEastAsia" w:hAnsiTheme="minorEastAsia" w:hint="eastAsia"/>
          <w:b/>
          <w:szCs w:val="21"/>
        </w:rPr>
        <w:t>荣耀上市（2015）</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★2015年1月，首次发行A股股票，在深圳证券交易所挂牌上市。</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★2015年1月，年产25000吨LHTDSMX原药、5000吨YLL原药及系列制剂加工技改项目职业病防护设施设计专篇通过审核。</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★2015年2月，荣获“2014年度安全生产先进企业”等称号。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★2015年5月，“利民”牌80%代森锰锌可湿性粉剂摘得2014中国植保市场杀菌剂品牌销售排行桂冠。</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★2015年9月，获徐州市总工会“幸福企业”称号。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★2015年12月，环境安全达标建设顺利通过徐州市环保局验收。</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★2015年12月，一体化管理体系通过由国家认监会批准的北京新世纪有限公司的监督审核。</w:t>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6" w:name="_Toc458770041"/>
      <w:r w:rsidRPr="00124A9C">
        <w:rPr>
          <w:rFonts w:ascii="宋体" w:eastAsia="宋体" w:hAnsi="宋体" w:cs="宋体" w:hint="eastAsia"/>
          <w:b/>
          <w:color w:val="0D0D0D"/>
          <w:kern w:val="44"/>
          <w:sz w:val="28"/>
          <w:szCs w:val="28"/>
        </w:rPr>
        <w:t>企业文化</w:t>
      </w:r>
      <w:bookmarkEnd w:id="6"/>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企业价值观：所求之利</w:t>
      </w:r>
      <w:r w:rsidR="0054007F">
        <w:rPr>
          <w:rFonts w:asciiTheme="minorEastAsia" w:hAnsiTheme="minorEastAsia" w:hint="eastAsia"/>
          <w:szCs w:val="21"/>
        </w:rPr>
        <w:t>,</w:t>
      </w:r>
      <w:r w:rsidRPr="00124A9C">
        <w:rPr>
          <w:rFonts w:asciiTheme="minorEastAsia" w:hAnsiTheme="minorEastAsia" w:hint="eastAsia"/>
          <w:szCs w:val="21"/>
        </w:rPr>
        <w:t>回报于民</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企业精神：艰苦奋斗</w:t>
      </w:r>
      <w:r w:rsidR="0054007F">
        <w:rPr>
          <w:rFonts w:asciiTheme="minorEastAsia" w:hAnsiTheme="minorEastAsia" w:hint="eastAsia"/>
          <w:szCs w:val="21"/>
        </w:rPr>
        <w:t>,</w:t>
      </w:r>
      <w:r w:rsidRPr="00124A9C">
        <w:rPr>
          <w:rFonts w:asciiTheme="minorEastAsia" w:hAnsiTheme="minorEastAsia" w:hint="eastAsia"/>
          <w:szCs w:val="21"/>
        </w:rPr>
        <w:t>变革创新</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企业经营宗旨：依靠科技和管理进步</w:t>
      </w:r>
      <w:r w:rsidR="0054007F">
        <w:rPr>
          <w:rFonts w:asciiTheme="minorEastAsia" w:hAnsiTheme="minorEastAsia" w:hint="eastAsia"/>
          <w:szCs w:val="21"/>
        </w:rPr>
        <w:t>,</w:t>
      </w:r>
      <w:r w:rsidRPr="00124A9C">
        <w:rPr>
          <w:rFonts w:asciiTheme="minorEastAsia" w:hAnsiTheme="minorEastAsia" w:hint="eastAsia"/>
          <w:szCs w:val="21"/>
        </w:rPr>
        <w:t>塑造优质产品和服务</w:t>
      </w:r>
      <w:r w:rsidR="0054007F">
        <w:rPr>
          <w:rFonts w:asciiTheme="minorEastAsia" w:hAnsiTheme="minorEastAsia" w:hint="eastAsia"/>
          <w:szCs w:val="21"/>
        </w:rPr>
        <w:t>,</w:t>
      </w:r>
      <w:r w:rsidRPr="00124A9C">
        <w:rPr>
          <w:rFonts w:asciiTheme="minorEastAsia" w:hAnsiTheme="minorEastAsia" w:hint="eastAsia"/>
          <w:szCs w:val="21"/>
        </w:rPr>
        <w:t>推动植保科技发展</w:t>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7" w:name="_Toc458770042"/>
      <w:r w:rsidRPr="00124A9C">
        <w:rPr>
          <w:rFonts w:ascii="宋体" w:eastAsia="宋体" w:hAnsi="宋体" w:cs="宋体" w:hint="eastAsia"/>
          <w:b/>
          <w:color w:val="0D0D0D"/>
          <w:kern w:val="44"/>
          <w:sz w:val="28"/>
          <w:szCs w:val="28"/>
        </w:rPr>
        <w:t>公司治理与内控体系</w:t>
      </w:r>
      <w:bookmarkEnd w:id="7"/>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股份持续完善公司治理结构，不断健全公司治理规范。董事会下设战略委员会、提名委员会、审计委员会、薪酬与考核委员会等四个专门委员会，各委员会的人员构成中独立董事占多数。三名独立董事分别担任提名委员会、审计委员会、薪酬与考核委员会的主任委员职务。股东大会为最高权力机构，董事会为决策机构，经营管理层为执行机构，监事会为监督机构，形成各司其职、各尽其责、相互协调、相互制衡的法人治理结构。2015年，召</w:t>
      </w:r>
      <w:r w:rsidRPr="00124A9C">
        <w:rPr>
          <w:rFonts w:asciiTheme="minorEastAsia" w:hAnsiTheme="minorEastAsia" w:hint="eastAsia"/>
          <w:szCs w:val="21"/>
        </w:rPr>
        <w:lastRenderedPageBreak/>
        <w:t>开股东大会5次，董事会15次，监事会12次。</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股份已经建立起一套较为完整的、与公司运营特点相适应的内部规章制度体系，其范围覆盖公司治理、战略发展、财务管理、人力资源、绩效管理、安全管理、信息技术等公司运营的方方面面。同时，公司根据国家法律法规和政策的变化，不断制定、修订和完善相关公司治理细则和内部流程，以确保符合监管和内控要求。</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5010150" cy="3238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10150" cy="3238500"/>
                    </a:xfrm>
                    <a:prstGeom prst="rect">
                      <a:avLst/>
                    </a:prstGeom>
                  </pic:spPr>
                </pic:pic>
              </a:graphicData>
            </a:graphic>
          </wp:inline>
        </w:drawing>
      </w:r>
    </w:p>
    <w:p w:rsidR="00F65398" w:rsidRPr="00F65398" w:rsidRDefault="00F65398"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8" w:name="_Toc458770043"/>
      <w:r w:rsidRPr="00F65398">
        <w:rPr>
          <w:rFonts w:ascii="宋体" w:eastAsia="宋体" w:hAnsi="宋体" w:cs="宋体" w:hint="eastAsia"/>
          <w:b/>
          <w:color w:val="0D0D0D"/>
          <w:kern w:val="44"/>
          <w:sz w:val="28"/>
          <w:szCs w:val="28"/>
        </w:rPr>
        <w:t>企业荣誉</w:t>
      </w:r>
      <w:bookmarkEnd w:id="8"/>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2015年</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★“利民牌”代森锰锌获中国石油和化学工业联合会“中国石油和化学工业知名品牌产品”</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★获江苏省人民政府“江苏省AAA级重合同守信用企业”称号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★获中国农药工业协会“农药行业出口贸易诚信十佳企业”称号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★获“企业信用评价AAA级信用企业”称号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★获中国质量监督管理中心“全国用户满意企业（产品）”</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★获中国石油和化学工业联合会“中国石油和化工优秀民营企业”称号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★获中国农药行业HSE（健康、安全、环境）管理体系合规企业AAA级称号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★入选江苏省2015年第一批高新技术企业</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2014年</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★“利民”商标入选2014-2016年度江苏省重点培育和发展的国际知名品牌</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★荣登2014年度中国石油和化工企业公民楷模榜</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★获江苏省社会信用体系建设小组领导办公室颁发的“江苏省企业信用管理贯标证书”</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lastRenderedPageBreak/>
        <w:t>2013年</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★获“2013年度中国石油和化工企业责任关怀奖”</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★“利民牌”代森锰锌、霜脲氰获江苏省名牌战略推进委员会“2012年江苏省名牌产品”</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★技术中心获“全国石油和化学工业先进集体”称号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★获江苏省“2011-2012年度全省依法管理诚信经营先进企业”称号</w:t>
      </w:r>
    </w:p>
    <w:p w:rsidR="00F65398"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★荣登2013年度中国石油和化工企业公民楷模榜</w:t>
      </w:r>
    </w:p>
    <w:p w:rsidR="00F65398" w:rsidRDefault="00F65398">
      <w:pPr>
        <w:widowControl/>
        <w:jc w:val="left"/>
        <w:rPr>
          <w:rFonts w:asciiTheme="minorEastAsia" w:hAnsiTheme="minorEastAsia"/>
          <w:szCs w:val="21"/>
        </w:rPr>
      </w:pPr>
      <w:r>
        <w:rPr>
          <w:rFonts w:asciiTheme="minorEastAsia" w:hAnsiTheme="minorEastAsia"/>
          <w:szCs w:val="21"/>
        </w:rPr>
        <w:br w:type="page"/>
      </w:r>
    </w:p>
    <w:p w:rsidR="001905C5" w:rsidRPr="00124A9C" w:rsidRDefault="001905C5" w:rsidP="00124A9C">
      <w:pPr>
        <w:pStyle w:val="10"/>
        <w:spacing w:line="300" w:lineRule="auto"/>
        <w:rPr>
          <w:rFonts w:asciiTheme="minorEastAsia" w:hAnsiTheme="minorEastAsia"/>
          <w:szCs w:val="21"/>
        </w:rPr>
      </w:pPr>
    </w:p>
    <w:p w:rsidR="001905C5" w:rsidRPr="00124A9C" w:rsidRDefault="001905C5"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9" w:name="_Toc458770044"/>
      <w:r w:rsidRPr="00124A9C">
        <w:rPr>
          <w:rFonts w:asciiTheme="minorEastAsia" w:hAnsiTheme="minorEastAsia" w:cs="Times New Roman" w:hint="eastAsia"/>
          <w:b/>
          <w:kern w:val="44"/>
          <w:sz w:val="32"/>
          <w:szCs w:val="32"/>
        </w:rPr>
        <w:t>筑牢价值创造的基石</w:t>
      </w:r>
      <w:bookmarkEnd w:id="9"/>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利民股份视产品品质为企业发展的基石，全力保障产品品质，专注产品技术研发，强化创新驱动，致力于为客户提供全方位的优质产品与服务。</w:t>
      </w:r>
    </w:p>
    <w:p w:rsidR="00950C8E" w:rsidRPr="00124A9C"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荣誉</w:t>
      </w:r>
    </w:p>
    <w:p w:rsidR="001905C5" w:rsidRPr="00124A9C" w:rsidRDefault="001905C5" w:rsidP="00F65398">
      <w:pPr>
        <w:pStyle w:val="10"/>
        <w:spacing w:line="300" w:lineRule="auto"/>
        <w:rPr>
          <w:rFonts w:asciiTheme="minorEastAsia" w:hAnsiTheme="minorEastAsia"/>
          <w:szCs w:val="21"/>
        </w:rPr>
      </w:pPr>
      <w:r w:rsidRPr="00124A9C">
        <w:rPr>
          <w:rFonts w:asciiTheme="minorEastAsia" w:hAnsiTheme="minorEastAsia" w:hint="eastAsia"/>
          <w:szCs w:val="21"/>
        </w:rPr>
        <w:t>★通过江苏省质量技术监督局的考核，获《计量保证确认证书》</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★获中国出入境检验检疫协会授予的“中国质量诚信企业”</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★入选江苏省2015年第一批高新技术企业</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★利民领秀80%全络合态代森锰锌可湿性粉剂获中国农药工业协会“2015年度安全科学用药推广单品贡献奖”</w:t>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0" w:name="_Toc458770045"/>
      <w:r w:rsidRPr="00124A9C">
        <w:rPr>
          <w:rFonts w:ascii="宋体" w:eastAsia="宋体" w:hAnsi="宋体" w:cs="宋体" w:hint="eastAsia"/>
          <w:b/>
          <w:color w:val="0D0D0D"/>
          <w:kern w:val="44"/>
          <w:sz w:val="28"/>
          <w:szCs w:val="28"/>
        </w:rPr>
        <w:t>保证产品品质</w:t>
      </w:r>
      <w:bookmarkEnd w:id="10"/>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公司以ISO9001质量管理体系为依托，不断完善质量控制体系。在原材料采购、生产控制、检验检测等环节进行严密的全过程管理，产品质量和稳定性达到国际先进水平。</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建立内控指标：建立原材料和产品的内控指标，主要产品的内部质量控制标准优于国家标准、行业标准和联合国粮农组织标准。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改进产品质量：调整生产工艺，通过技术创新实现产品提档升级。</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提升质量意识：开展员工专业知识培训；加强管理考核，各车间质量管理员利用班前班后会对当天的品质状况进行总结、评比。</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5274310" cy="27861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274310" cy="2786105"/>
                    </a:xfrm>
                    <a:prstGeom prst="rect">
                      <a:avLst/>
                    </a:prstGeom>
                  </pic:spPr>
                </pic:pic>
              </a:graphicData>
            </a:graphic>
          </wp:inline>
        </w:drawing>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1" w:name="_Toc458770046"/>
      <w:r w:rsidRPr="00124A9C">
        <w:rPr>
          <w:rFonts w:ascii="宋体" w:eastAsia="宋体" w:hAnsi="宋体" w:cs="宋体" w:hint="eastAsia"/>
          <w:b/>
          <w:color w:val="0D0D0D"/>
          <w:kern w:val="44"/>
          <w:sz w:val="28"/>
          <w:szCs w:val="28"/>
        </w:rPr>
        <w:lastRenderedPageBreak/>
        <w:t>提供全方位客户服务</w:t>
      </w:r>
      <w:bookmarkEnd w:id="11"/>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以提供满意的产品和服务为目标，注重回应客户期望和诉求，推进“责任关怀管理体系建设”，丰富营销手段，努力为客户提供多元化的优质服务。2015年，对代理商、加工企业、零售商等进行调研，国内客户满意度93.8%，海外客户满意度达90%以上。</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067050" cy="3028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067050" cy="3028950"/>
                    </a:xfrm>
                    <a:prstGeom prst="rect">
                      <a:avLst/>
                    </a:prstGeom>
                  </pic:spPr>
                </pic:pic>
              </a:graphicData>
            </a:graphic>
          </wp:inline>
        </w:drawing>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2" w:name="_Toc458770047"/>
      <w:r w:rsidRPr="00124A9C">
        <w:rPr>
          <w:rFonts w:ascii="宋体" w:eastAsia="宋体" w:hAnsi="宋体" w:cs="宋体" w:hint="eastAsia"/>
          <w:b/>
          <w:color w:val="0D0D0D"/>
          <w:kern w:val="44"/>
          <w:sz w:val="28"/>
          <w:szCs w:val="28"/>
        </w:rPr>
        <w:t>强化创新驱动</w:t>
      </w:r>
      <w:bookmarkEnd w:id="12"/>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公司通过实施科技创新战略，持续加大科技投入，推动科技创新能力及品牌价值的快速提升。</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657600" cy="1781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657600" cy="1781175"/>
                    </a:xfrm>
                    <a:prstGeom prst="rect">
                      <a:avLst/>
                    </a:prstGeom>
                  </pic:spPr>
                </pic:pic>
              </a:graphicData>
            </a:graphic>
          </wp:inline>
        </w:drawing>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研发投入（单位:万元）</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lastRenderedPageBreak/>
        <w:drawing>
          <wp:inline distT="0" distB="0" distL="0" distR="0">
            <wp:extent cx="3629025" cy="22669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629025" cy="2266950"/>
                    </a:xfrm>
                    <a:prstGeom prst="rect">
                      <a:avLst/>
                    </a:prstGeom>
                  </pic:spPr>
                </pic:pic>
              </a:graphicData>
            </a:graphic>
          </wp:inline>
        </w:drawing>
      </w: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产品技术革新</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公司积极推动技术创新，不断改进生产工艺和生产装备，全面提升产品品质。</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◎产品研发：改进传统产品，提升产品品质；开发试验新产品，提高市场占有率；完成苯醚甲环唑放大试验，收率提升4%，为工业设计提供良好的基础。</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◎技术攻关：开展生产设备技术改造，稳定生产，提高生产效率；根据公司长期合作客户的需求进行技术研发与改进。</w:t>
      </w:r>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◎工艺改进：在设计开发中重点研究水、电、气消耗及清洁循环生产的应用。</w:t>
      </w:r>
    </w:p>
    <w:p w:rsidR="00950C8E" w:rsidRPr="00124A9C"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案例：抢占技术制高点</w:t>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近年来，利民股份通过搬迁建设实现工艺技术、装置水平的全面提档升级，企业竞争力进一步增强。</w:t>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第一次搬迁建设，通过技改解决主要产品生产过程中物料输送因暴露而产生的浪费和污染，实现密闭生产；集中实施生产污水净化中水回用、代森锰锌闪蒸喷淋水循环利用、废渣综合利用等工程，生产用水全部闭路循环，从根本上解决废水、废渣中的污染源问题，节约大量地下水资源。</w:t>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第二次搬迁建设，实现生产过程自动化控制、全封闭、连续化操作；同时设置总控中心，监测各个重点岗位的运行情况，并及时显示各种能耗数据。</w:t>
      </w:r>
    </w:p>
    <w:p w:rsidR="001905C5"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目前利民股份正在对主导产品代森锰锌等实施第三轮改造。项目采用当今全球最先进的生产设备，进一步优化生产工艺，产品质量可与跨国公司媲美；采用最先进的污水处理技术，“三废”产生量更低；自动控制水平更高，实现包装全自动化。</w:t>
      </w:r>
    </w:p>
    <w:p w:rsidR="00950C8E" w:rsidRPr="00124A9C"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案例：实施工艺自动化控制</w:t>
      </w:r>
    </w:p>
    <w:p w:rsidR="001905C5"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公司推进精益生产，提高装置运行水平，生产车间自动控制系统DCS投用率达100%。工艺实现自动化控制，减少人为操作带来的失误，工艺操作更加精准，产品质量不断提高。对一些高危工艺控制点，采用连锁报警装置、紧急停车系统ESD，对生产中出现的异常情况做出及时处理。车间岗位工人劳动量大幅减少，降低员工接触化学品的几率，创造更加舒适</w:t>
      </w:r>
      <w:r w:rsidRPr="00124A9C">
        <w:rPr>
          <w:rFonts w:asciiTheme="minorEastAsia" w:hAnsiTheme="minorEastAsia" w:hint="eastAsia"/>
          <w:szCs w:val="21"/>
        </w:rPr>
        <w:lastRenderedPageBreak/>
        <w:t>的工作环境。</w:t>
      </w:r>
    </w:p>
    <w:p w:rsidR="00950C8E" w:rsidRPr="00124A9C"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创新人才培育</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公司重视产学研合作，同高等院校、科研机构、跨国公司等建立多渠道、多形式的产学研合作关系，共同培养创新人才。</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810000" cy="20383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810000" cy="2038350"/>
                    </a:xfrm>
                    <a:prstGeom prst="rect">
                      <a:avLst/>
                    </a:prstGeom>
                  </pic:spPr>
                </pic:pic>
              </a:graphicData>
            </a:graphic>
          </wp:inline>
        </w:drawing>
      </w:r>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公司拥有一支与产品研发、试制、检测相适应的技术队伍，共有研究开发人员176人，占员工总数16.15%。</w:t>
      </w:r>
    </w:p>
    <w:p w:rsidR="00950C8E" w:rsidRPr="00124A9C"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知识产权管理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秉持“艰苦奋斗、变革创新、追求卓越、志存高远”的知识产权管理方针，实施“知识产权管理体系”，制定并发布“知识产权管理工作手册”，实现科研成果有序转化，企业知识经济效益不断提升。2015年，获江苏省知识产权管理标准化示范合格企业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截至2015年底，公司已成立省级企业技术中心、省杀菌剂工程技术研究中心和国家级博士后工作站，拥有知识产权工程师两名、授权发明专利11项、授权实用新型专利9项。获国家科技进步奖4项，其中液膜分离回收废水中高浓度酚、氰技术及应用获国家科学技术进步二等奖。</w:t>
      </w:r>
    </w:p>
    <w:p w:rsidR="001905C5" w:rsidRPr="00124A9C" w:rsidRDefault="001905C5"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13" w:name="_Toc458770048"/>
      <w:r w:rsidRPr="00124A9C">
        <w:rPr>
          <w:rFonts w:asciiTheme="minorEastAsia" w:hAnsiTheme="minorEastAsia" w:cs="Times New Roman" w:hint="eastAsia"/>
          <w:b/>
          <w:kern w:val="44"/>
          <w:sz w:val="32"/>
          <w:szCs w:val="32"/>
        </w:rPr>
        <w:t>引领安全绿色发展的格局</w:t>
      </w:r>
      <w:bookmarkEnd w:id="13"/>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利民股份在提供优质产品和专业服务的同时，始终致力于通过更安全、更环保和更高效的方式开展业务，保障每一位员工、相关方人员不受伤害，保护赖以生存的环境不被污染，不断探索科学、规范、系统的健康安全环保管理机制，提升公司的核心竞争力，实现公司与自然的健康、和谐、可持续发展。</w:t>
      </w:r>
    </w:p>
    <w:p w:rsidR="00950C8E" w:rsidRPr="00124A9C"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荣誉</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★获中国农药行业HSE（健康、安全、环境）管理体系合规企业AAA级称号</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★代森类产品生产中含氨废水综合治理方法获国家发明专利</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★危险化学品安全生产标准化二级达标企业</w:t>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4" w:name="_Toc458770049"/>
      <w:r w:rsidRPr="00124A9C">
        <w:rPr>
          <w:rFonts w:ascii="宋体" w:eastAsia="宋体" w:hAnsi="宋体" w:cs="宋体" w:hint="eastAsia"/>
          <w:b/>
          <w:color w:val="0D0D0D"/>
          <w:kern w:val="44"/>
          <w:sz w:val="28"/>
          <w:szCs w:val="28"/>
        </w:rPr>
        <w:lastRenderedPageBreak/>
        <w:t>安全生产</w:t>
      </w:r>
      <w:bookmarkEnd w:id="14"/>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公司坚持“以人为本，关爱生命”的安全管理理念，不断完善安全管理体系，推行智能化管理系统与设备，积极开展安全生产检查，加强安全文化宣传，全面提高安全绩效。</w:t>
      </w: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安全监督管理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制定安全生产检查方案，开展安全督导检查，切实完善企业各项安全管理措施，全面提高企业的安全管理状况，实现全系统安全稳定运行。2015年，组织安全检查24次，共查出隐患1224条，完成整改1202条，整改率98.2%。</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四级联查：建立岗位巡查、车间例查、专项检查、安委会定期检查体系，按照安全检查计划开展综合检查及各类专项检查。</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三级安全绩效考核：制定安全考核方案，分别对部门及高管进行年终安全考核，对车间主任及安全管理人员进行季度安全考核，对车间员工进行月度考核。</w:t>
      </w:r>
    </w:p>
    <w:p w:rsidR="00950C8E"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危险化学品管理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公司坚持“安全第一、预防为主、综合治理”的方针，严格遵守《危险化学品安全管理条例》，把控危化品的购买、使用和运输等各环节，预防和减少危险化学品事故。</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案例：全面推动危险与可操作性分析（HAZOP）</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全面推动HAZOP分析，对涉及高危工艺、重大危险源、重点监管的危险化学品的车间进行HAZOP分析，涉及加氢岗位、氯化岗位、烷基化岗位、氧化岗位等。采用工作危害分析法和安全检查表，对所有生产装置进行危害识别和风险评价，使生产系统安全水平进一步提升。</w:t>
      </w:r>
    </w:p>
    <w:p w:rsidR="00950C8E"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安全运输与仓储</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农药产品的安全运输与仓储是预防安全事故的重要环节。</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仓储管理：制定相关仓储管理安全条例，建立立体仓库，针对不同产品进行分类储存；完成仓库管理WMS系统的测试、上线工作，实时跟踪货物定点及流向，实现仓储管理的智能化与可视化。</w:t>
      </w:r>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安全运输：采用外包车队进行产品运输，对承包商实行严格的资质考核并定期进行安全培训，确保安全运输。</w:t>
      </w:r>
    </w:p>
    <w:p w:rsidR="00950C8E" w:rsidRPr="00950C8E"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案例：应急管理体系</w:t>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公司加强应急管理体系建设，提高突发事件的应急处置能力和水平，建立三级生产安全事故应急响应程序，努力降低事故和灾害损失。按照AQ/T90072011标准要求，完善应急救援预案，定期进行应急救援演练。各生产车间配备了相应的应急救援装备，包括空气呼吸器、防化服、消防战斗服和手动消防泵等，每年举行两次应急消防演练，以增强处理突发事件的</w:t>
      </w:r>
      <w:r w:rsidRPr="00124A9C">
        <w:rPr>
          <w:rFonts w:asciiTheme="minorEastAsia" w:hAnsiTheme="minorEastAsia" w:hint="eastAsia"/>
          <w:szCs w:val="21"/>
        </w:rPr>
        <w:lastRenderedPageBreak/>
        <w:t>能力。</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724275" cy="2333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724275" cy="2333625"/>
                    </a:xfrm>
                    <a:prstGeom prst="rect">
                      <a:avLst/>
                    </a:prstGeom>
                  </pic:spPr>
                </pic:pic>
              </a:graphicData>
            </a:graphic>
          </wp:inline>
        </w:drawing>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3724275" cy="23336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724275" cy="2333625"/>
                    </a:xfrm>
                    <a:prstGeom prst="rect">
                      <a:avLst/>
                    </a:prstGeom>
                  </pic:spPr>
                </pic:pic>
              </a:graphicData>
            </a:graphic>
          </wp:inline>
        </w:drawing>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案例：消防技能大比武</w:t>
      </w: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2015年7月，公司举行第八届消防技能比武，共10个车间参与。比武设置多个竞赛项目，覆盖日常消防工作的重点环节和消防从业人员基本技能，具有很强的针对性和实战性。各车间应急队员相互比拼、相互学习，在比武中进一步提升应急救援能力。</w:t>
      </w:r>
    </w:p>
    <w:p w:rsidR="00950C8E"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安全培训教育</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开展安全教育培训，使每位员工掌握安全生产知识、安全操作技能和安全防护知识，增强自我安全保护意识，提高事故处理能力。丰富安全培训方式，由传统课堂授课转向现场实践操作，并通过专题讲座、图片展示、视频播放、班组活动、技能比武等推动培训向更深层次的方向发展。2015年，开展员工安全培训3000人次。</w:t>
      </w:r>
    </w:p>
    <w:p w:rsidR="001905C5" w:rsidRPr="00124A9C" w:rsidRDefault="001905C5"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5" w:name="_Toc458770050"/>
      <w:r w:rsidRPr="00124A9C">
        <w:rPr>
          <w:rFonts w:ascii="宋体" w:eastAsia="宋体" w:hAnsi="宋体" w:cs="宋体" w:hint="eastAsia"/>
          <w:b/>
          <w:color w:val="0D0D0D"/>
          <w:kern w:val="44"/>
          <w:sz w:val="28"/>
          <w:szCs w:val="28"/>
        </w:rPr>
        <w:t>绿色运营</w:t>
      </w:r>
      <w:bookmarkEnd w:id="15"/>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公司推进“零排放”管理，践行绿色低碳可循环的生产理念。进一步加大节能减排，提高资源能源综合利用效率，大力发展循环经济，推广新型、高效、低碳的产品，实现清洁发展、低碳发展和可持续发展。</w:t>
      </w: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lastRenderedPageBreak/>
        <w:t>环境管理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完善环境管理体系，建立“对比先进、分析差距、持续改进、不断超越”长效对标管理工作机制，不断优化环境管理模式。在行业内率先通过ISO14001环境管理体系、OHSAS18001职业健康安全管理体系认证以及危险化学品从业单位二级达标认证。</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noProof/>
          <w:szCs w:val="21"/>
        </w:rPr>
        <w:drawing>
          <wp:inline distT="0" distB="0" distL="0" distR="0">
            <wp:extent cx="5248275" cy="23812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48275" cy="2381250"/>
                    </a:xfrm>
                    <a:prstGeom prst="rect">
                      <a:avLst/>
                    </a:prstGeom>
                  </pic:spPr>
                </pic:pic>
              </a:graphicData>
            </a:graphic>
          </wp:inline>
        </w:drawing>
      </w: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环保培训</w:t>
      </w:r>
    </w:p>
    <w:p w:rsidR="001905C5"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每年年初编制年度培训计划，根据计划安排，针对不同层次环保从业人员，实施员工素质提升培训。2015年，环境教育培训投入1万元，组织环保培训4次，60余人次参与环保管理人员采用外培的方式，实施ISO14001内审员资质培训、环保从业人员资质培训，培训后提交培训报告组织污水处理员进行法律法规、污水处理操作规范等方面的继续教育，通过实践考核，提升污水处理员工的操作技能水平。</w:t>
      </w:r>
    </w:p>
    <w:p w:rsidR="00950C8E" w:rsidRPr="00124A9C"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案例：开展废气处理工艺设计培训</w:t>
      </w:r>
    </w:p>
    <w:p w:rsidR="001905C5"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2015年11月，公司开展废气处理工艺设计培训。培训主讲人就环境污染种类、世界八大公害事件、石油化工废气主要污染来源及危害等问题进行剖析，系统介绍目前废气处理主要的工艺方法，并对公司废气治理措施及运行情况做出深刻细致的讲解。公司技术部、生产部30余名干部员工参加培训。</w:t>
      </w:r>
    </w:p>
    <w:p w:rsidR="00950C8E" w:rsidRPr="00124A9C" w:rsidRDefault="00950C8E" w:rsidP="00124A9C">
      <w:pPr>
        <w:pStyle w:val="10"/>
        <w:spacing w:line="300" w:lineRule="auto"/>
        <w:rPr>
          <w:rFonts w:asciiTheme="minorEastAsia" w:hAnsiTheme="minorEastAsia"/>
          <w:szCs w:val="21"/>
        </w:rPr>
      </w:pPr>
    </w:p>
    <w:p w:rsidR="001905C5" w:rsidRPr="00950C8E" w:rsidRDefault="001905C5" w:rsidP="00950C8E">
      <w:pPr>
        <w:pStyle w:val="10"/>
        <w:spacing w:line="300" w:lineRule="auto"/>
        <w:ind w:firstLine="422"/>
        <w:rPr>
          <w:rFonts w:asciiTheme="minorEastAsia" w:hAnsiTheme="minorEastAsia"/>
          <w:b/>
          <w:szCs w:val="21"/>
        </w:rPr>
      </w:pPr>
      <w:r w:rsidRPr="00950C8E">
        <w:rPr>
          <w:rFonts w:asciiTheme="minorEastAsia" w:hAnsiTheme="minorEastAsia" w:hint="eastAsia"/>
          <w:b/>
          <w:szCs w:val="21"/>
        </w:rPr>
        <w:t>减少污染物排放</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公司秉承“三废是放错位置的资源”的理念，积极推动三废资源利用。严格遵守国家、地方相关环境法律法规，推广和应用环保新技术，努力减少废弃物排放。</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◎统计记录：建立各车间废水及废气处理设施的台账、记录，有效控制各车间废水排放指标及排放量；针对各车间废气处理情况，建立适用于自身的废气处理记录，并定期进行汇总统计。</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◎技术引进：在废水、废气、废渣治理过程中，先后引进先进的工业废水蒸发器（MVR）技术、催化氧化技术、焚烧炉技术等，并确保各种环保设施正常运转。</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lastRenderedPageBreak/>
        <w:t>◎实时监督：加强对废水、废气处理设施运行状况的监督和管理，及时跟踪各车间及总排口的水样分析数据，确保处理设施有效运行；与当地环保部门联网，于废水排放口配备哈希在线监测设备，对废水处理站出水化学需氧量（COD）、氨氮和废水流量进行自动监测及数据采集。</w:t>
      </w:r>
    </w:p>
    <w:p w:rsidR="001905C5" w:rsidRPr="00124A9C" w:rsidRDefault="001905C5" w:rsidP="00124A9C">
      <w:pPr>
        <w:pStyle w:val="10"/>
        <w:spacing w:line="300" w:lineRule="auto"/>
        <w:rPr>
          <w:rFonts w:asciiTheme="minorEastAsia" w:hAnsiTheme="minorEastAsia"/>
          <w:szCs w:val="21"/>
        </w:rPr>
      </w:pPr>
      <w:r w:rsidRPr="00124A9C">
        <w:rPr>
          <w:rFonts w:asciiTheme="minorEastAsia" w:hAnsiTheme="minorEastAsia" w:hint="eastAsia"/>
          <w:szCs w:val="21"/>
        </w:rPr>
        <w:t>◎严格考核：严格控制污染物排放的指标，倒逼车间加强污染物排放的处理。</w:t>
      </w:r>
    </w:p>
    <w:p w:rsidR="00950C8E"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案例：生产过程中的“三废处理”</w:t>
      </w:r>
    </w:p>
    <w:p w:rsidR="001905C5"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2015年11月，公司开展废气处理工艺设计培训。培训主讲人就环境污染种类、世界八大公害事件、石油化工废气主要污染来源及危害等问题进行剖析，系统介绍目前废气处理主要的工艺方法，并对公司废气治理措施及运行情况做出深刻细致的讲解。公司技术部、生产部30余名干部员工参加培训。</w:t>
      </w:r>
    </w:p>
    <w:p w:rsidR="00950C8E" w:rsidRPr="00124A9C" w:rsidRDefault="00950C8E" w:rsidP="00124A9C">
      <w:pPr>
        <w:pStyle w:val="10"/>
        <w:spacing w:line="300" w:lineRule="auto"/>
        <w:rPr>
          <w:rFonts w:asciiTheme="minorEastAsia" w:hAnsiTheme="minorEastAsia"/>
          <w:szCs w:val="21"/>
        </w:rPr>
      </w:pPr>
    </w:p>
    <w:p w:rsidR="001905C5" w:rsidRPr="00124A9C"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案例：打造“零排放”车间</w:t>
      </w:r>
    </w:p>
    <w:p w:rsidR="001905C5" w:rsidRDefault="001905C5" w:rsidP="00950C8E">
      <w:pPr>
        <w:pStyle w:val="10"/>
        <w:pBdr>
          <w:top w:val="single" w:sz="4" w:space="1" w:color="auto"/>
          <w:left w:val="single" w:sz="4" w:space="4" w:color="auto"/>
          <w:bottom w:val="single" w:sz="4" w:space="1" w:color="auto"/>
          <w:right w:val="single" w:sz="4" w:space="4" w:color="auto"/>
        </w:pBdr>
        <w:spacing w:line="300" w:lineRule="auto"/>
        <w:rPr>
          <w:rFonts w:asciiTheme="minorEastAsia" w:hAnsiTheme="minorEastAsia"/>
          <w:szCs w:val="21"/>
        </w:rPr>
      </w:pPr>
      <w:r w:rsidRPr="00124A9C">
        <w:rPr>
          <w:rFonts w:asciiTheme="minorEastAsia" w:hAnsiTheme="minorEastAsia" w:hint="eastAsia"/>
          <w:szCs w:val="21"/>
        </w:rPr>
        <w:t>在代森类产品生产过程，公司建设预处理和综合生化处理项目，通过回收代森类废渣、将生成的硫酸锰溶液回用生产，实现废水达标排放；实施物料密闭输送项目，对粉尘、烟尘等污染物进行处理，污染物得到回收利用，实现尾气达标排放；同时将废渣资源化利用，无利用价值的废渣委托有资质的固废处置公司处理。</w:t>
      </w:r>
    </w:p>
    <w:p w:rsidR="00950C8E" w:rsidRPr="00124A9C" w:rsidRDefault="00950C8E" w:rsidP="00124A9C">
      <w:pPr>
        <w:pStyle w:val="10"/>
        <w:spacing w:line="300" w:lineRule="auto"/>
        <w:rPr>
          <w:rFonts w:asciiTheme="minorEastAsia" w:hAnsiTheme="minorEastAsia"/>
          <w:szCs w:val="21"/>
        </w:rPr>
      </w:pPr>
    </w:p>
    <w:p w:rsidR="00124A9C" w:rsidRPr="00124A9C" w:rsidRDefault="00124A9C" w:rsidP="00950C8E">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w:t>
      </w:r>
      <w:r w:rsidRPr="00124A9C">
        <w:rPr>
          <w:rFonts w:asciiTheme="minorEastAsia" w:hAnsiTheme="minorEastAsia" w:cs="FZLTHK--GBK1-0"/>
          <w:kern w:val="0"/>
          <w:szCs w:val="21"/>
        </w:rPr>
        <w:t>：污水处理</w:t>
      </w:r>
    </w:p>
    <w:p w:rsidR="00124A9C" w:rsidRPr="00124A9C" w:rsidRDefault="00124A9C" w:rsidP="00950C8E">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厂区按规范要求实施清污分流、雨污分流，生产车间产生的生产污水、生活污水及地面冲刷水集中收集入池或预处理后，管道架空输送至废水车间处理，经处理后废水进入外排水暂存池，分析达新沂市经济开发区工业污水处理厂接管标准后，经“一企一管”专用管道排入新沂工业污水处理厂集中处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tbl>
      <w:tblPr>
        <w:tblStyle w:val="ab"/>
        <w:tblW w:w="0" w:type="auto"/>
        <w:tblBorders>
          <w:left w:val="none" w:sz="0" w:space="0" w:color="auto"/>
          <w:right w:val="none" w:sz="0" w:space="0" w:color="auto"/>
          <w:insideV w:val="none" w:sz="0" w:space="0" w:color="auto"/>
        </w:tblBorders>
        <w:tblLook w:val="04A0"/>
      </w:tblPr>
      <w:tblGrid>
        <w:gridCol w:w="1696"/>
        <w:gridCol w:w="6600"/>
      </w:tblGrid>
      <w:tr w:rsidR="00124A9C" w:rsidRPr="00124A9C" w:rsidTr="00F65398">
        <w:trPr>
          <w:trHeight w:val="1235"/>
        </w:trPr>
        <w:tc>
          <w:tcPr>
            <w:tcW w:w="1696" w:type="dxa"/>
            <w:shd w:val="clear" w:color="auto" w:fill="4F81BD" w:themeFill="accent1"/>
          </w:tcPr>
          <w:p w:rsidR="00124A9C" w:rsidRPr="00124A9C" w:rsidRDefault="00124A9C" w:rsidP="00950C8E">
            <w:pPr>
              <w:autoSpaceDE w:val="0"/>
              <w:autoSpaceDN w:val="0"/>
              <w:adjustRightInd w:val="0"/>
              <w:spacing w:line="300" w:lineRule="auto"/>
              <w:jc w:val="left"/>
              <w:rPr>
                <w:rFonts w:asciiTheme="minorEastAsia" w:hAnsiTheme="minorEastAsia"/>
                <w:szCs w:val="21"/>
              </w:rPr>
            </w:pPr>
            <w:r w:rsidRPr="00124A9C">
              <w:rPr>
                <w:rFonts w:asciiTheme="minorEastAsia" w:hAnsiTheme="minorEastAsia" w:hint="eastAsia"/>
                <w:szCs w:val="21"/>
              </w:rPr>
              <w:t>控制废气排放</w:t>
            </w:r>
          </w:p>
        </w:tc>
        <w:tc>
          <w:tcPr>
            <w:tcW w:w="6600" w:type="dxa"/>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氯化氢（</w:t>
            </w:r>
            <w:proofErr w:type="spellStart"/>
            <w:r w:rsidRPr="00124A9C">
              <w:rPr>
                <w:rFonts w:asciiTheme="minorEastAsia" w:hAnsiTheme="minorEastAsia" w:cs="FZLTHK--GBK1-0"/>
                <w:kern w:val="0"/>
                <w:szCs w:val="21"/>
              </w:rPr>
              <w:t>HCl</w:t>
            </w:r>
            <w:proofErr w:type="spellEnd"/>
            <w:r w:rsidRPr="00124A9C">
              <w:rPr>
                <w:rFonts w:asciiTheme="minorEastAsia" w:hAnsiTheme="minorEastAsia" w:cs="FZLTHK--GBK1-0" w:hint="eastAsia"/>
                <w:kern w:val="0"/>
                <w:szCs w:val="21"/>
              </w:rPr>
              <w:t>）、二氧化硫（</w:t>
            </w:r>
            <w:r w:rsidRPr="00124A9C">
              <w:rPr>
                <w:rFonts w:asciiTheme="minorEastAsia" w:hAnsiTheme="minorEastAsia" w:cs="FZLTHK--GBK1-0"/>
                <w:kern w:val="0"/>
                <w:szCs w:val="21"/>
              </w:rPr>
              <w:t>SO2</w:t>
            </w:r>
            <w:r w:rsidRPr="00124A9C">
              <w:rPr>
                <w:rFonts w:asciiTheme="minorEastAsia" w:hAnsiTheme="minorEastAsia" w:cs="FZLTHK--GBK1-0" w:hint="eastAsia"/>
                <w:kern w:val="0"/>
                <w:szCs w:val="21"/>
              </w:rPr>
              <w:t>）工艺废气，采用“三级水吸收</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二级碱液吸收”处理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锅炉烟气处理采用碱液水膜除尘进行处理；粉尘尾气采用“二级旋风除尘器</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一级布袋除尘”处理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甲硫醇、氯化氢工艺废气采用焚烧炉及三级降膜碱吸收、二级次氯酸钠水吸收、五级高锰酸钾水吸收、活性炭吸附</w:t>
            </w:r>
            <w:r w:rsidRPr="00124A9C">
              <w:rPr>
                <w:rFonts w:asciiTheme="minorEastAsia" w:hAnsiTheme="minorEastAsia" w:cs="FZLTHK--GBK1-0"/>
                <w:kern w:val="0"/>
                <w:szCs w:val="21"/>
              </w:rPr>
              <w:t>处理</w:t>
            </w:r>
          </w:p>
        </w:tc>
      </w:tr>
      <w:tr w:rsidR="00124A9C" w:rsidRPr="00124A9C" w:rsidTr="00950C8E">
        <w:trPr>
          <w:trHeight w:val="487"/>
        </w:trPr>
        <w:tc>
          <w:tcPr>
            <w:tcW w:w="1696" w:type="dxa"/>
            <w:shd w:val="clear" w:color="auto" w:fill="4F81BD" w:themeFill="accent1"/>
          </w:tcPr>
          <w:p w:rsidR="00124A9C" w:rsidRPr="00124A9C" w:rsidRDefault="00124A9C" w:rsidP="00950C8E">
            <w:pPr>
              <w:autoSpaceDE w:val="0"/>
              <w:autoSpaceDN w:val="0"/>
              <w:adjustRightInd w:val="0"/>
              <w:spacing w:line="300" w:lineRule="auto"/>
              <w:jc w:val="left"/>
              <w:rPr>
                <w:rFonts w:asciiTheme="minorEastAsia" w:hAnsiTheme="minorEastAsia"/>
                <w:szCs w:val="21"/>
              </w:rPr>
            </w:pPr>
            <w:r w:rsidRPr="00124A9C">
              <w:rPr>
                <w:rFonts w:asciiTheme="minorEastAsia" w:hAnsiTheme="minorEastAsia" w:hint="eastAsia"/>
                <w:szCs w:val="21"/>
              </w:rPr>
              <w:t>控制废水</w:t>
            </w:r>
            <w:r w:rsidRPr="00124A9C">
              <w:rPr>
                <w:rFonts w:asciiTheme="minorEastAsia" w:hAnsiTheme="minorEastAsia"/>
                <w:szCs w:val="21"/>
              </w:rPr>
              <w:t>排放</w:t>
            </w:r>
          </w:p>
        </w:tc>
        <w:tc>
          <w:tcPr>
            <w:tcW w:w="6600" w:type="dxa"/>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◎含氨废水通过多效蒸发回收硫酸铵出售，蒸出水车间回用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其他含盐废水经车间蒸发脱盐处理，蒸发浓缩液采用焚烧炉焚烧处理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蒸出水采用电芬顿、电解、二氧化氯保护破氰、酸化水解、内循环（</w:t>
            </w:r>
            <w:r w:rsidRPr="00124A9C">
              <w:rPr>
                <w:rFonts w:asciiTheme="minorEastAsia" w:hAnsiTheme="minorEastAsia" w:cs="FZLTHK--GBK1-0"/>
                <w:kern w:val="0"/>
                <w:szCs w:val="21"/>
              </w:rPr>
              <w:t>IC</w:t>
            </w:r>
            <w:r w:rsidRPr="00124A9C">
              <w:rPr>
                <w:rFonts w:asciiTheme="minorEastAsia" w:hAnsiTheme="minorEastAsia" w:cs="FZLTHK--GBK1-0" w:hint="eastAsia"/>
                <w:kern w:val="0"/>
                <w:szCs w:val="21"/>
              </w:rPr>
              <w:t>）厌氧、周期循环活性污泥法（</w:t>
            </w:r>
            <w:r w:rsidRPr="00124A9C">
              <w:rPr>
                <w:rFonts w:asciiTheme="minorEastAsia" w:hAnsiTheme="minorEastAsia" w:cs="FZLTHK--GBK1-0"/>
                <w:kern w:val="0"/>
                <w:szCs w:val="21"/>
              </w:rPr>
              <w:t>CASS</w:t>
            </w:r>
            <w:r w:rsidRPr="00124A9C">
              <w:rPr>
                <w:rFonts w:asciiTheme="minorEastAsia" w:hAnsiTheme="minorEastAsia" w:cs="FZLTHK--GBK1-0" w:hint="eastAsia"/>
                <w:kern w:val="0"/>
                <w:szCs w:val="21"/>
              </w:rPr>
              <w:t>）生化工艺处理后达到</w:t>
            </w:r>
            <w:r w:rsidRPr="00124A9C">
              <w:rPr>
                <w:rFonts w:asciiTheme="minorEastAsia" w:hAnsiTheme="minorEastAsia" w:cs="FZLTHK--GBK1-0" w:hint="eastAsia"/>
                <w:kern w:val="0"/>
                <w:szCs w:val="21"/>
              </w:rPr>
              <w:lastRenderedPageBreak/>
              <w:t>新沂市工业污水处理厂接管要求</w:t>
            </w:r>
          </w:p>
        </w:tc>
      </w:tr>
      <w:tr w:rsidR="00124A9C" w:rsidRPr="00124A9C" w:rsidTr="00F65398">
        <w:trPr>
          <w:trHeight w:val="634"/>
        </w:trPr>
        <w:tc>
          <w:tcPr>
            <w:tcW w:w="1696" w:type="dxa"/>
            <w:shd w:val="clear" w:color="auto" w:fill="4F81BD" w:themeFill="accent1"/>
          </w:tcPr>
          <w:p w:rsidR="00124A9C" w:rsidRPr="00124A9C" w:rsidRDefault="00124A9C" w:rsidP="00950C8E">
            <w:pPr>
              <w:autoSpaceDE w:val="0"/>
              <w:autoSpaceDN w:val="0"/>
              <w:adjustRightInd w:val="0"/>
              <w:spacing w:line="300" w:lineRule="auto"/>
              <w:rPr>
                <w:rFonts w:asciiTheme="minorEastAsia" w:hAnsiTheme="minorEastAsia"/>
                <w:szCs w:val="21"/>
              </w:rPr>
            </w:pPr>
            <w:r w:rsidRPr="00124A9C">
              <w:rPr>
                <w:rFonts w:asciiTheme="minorEastAsia" w:hAnsiTheme="minorEastAsia" w:hint="eastAsia"/>
                <w:szCs w:val="21"/>
              </w:rPr>
              <w:lastRenderedPageBreak/>
              <w:t>控制</w:t>
            </w:r>
            <w:r w:rsidRPr="00124A9C">
              <w:rPr>
                <w:rFonts w:asciiTheme="minorEastAsia" w:hAnsiTheme="minorEastAsia"/>
                <w:szCs w:val="21"/>
              </w:rPr>
              <w:t>固体废弃物</w:t>
            </w:r>
            <w:r w:rsidRPr="00124A9C">
              <w:rPr>
                <w:rFonts w:asciiTheme="minorEastAsia" w:hAnsiTheme="minorEastAsia" w:hint="eastAsia"/>
                <w:szCs w:val="21"/>
              </w:rPr>
              <w:t>排放</w:t>
            </w:r>
          </w:p>
        </w:tc>
        <w:tc>
          <w:tcPr>
            <w:tcW w:w="6600" w:type="dxa"/>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生产过程中产生的可利用废渣，由生产车间分类收集后，由生产部定期安排有关车间加工成产品出售或利用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其它可回收再利用的副产品由综合部处置，不能利用的危险废弃物，由各车间设置危废临时贮存点，定期转移至危废仓库，再交有资质单位处置</w:t>
            </w:r>
          </w:p>
        </w:tc>
      </w:tr>
      <w:tr w:rsidR="00124A9C" w:rsidRPr="00124A9C" w:rsidTr="00F65398">
        <w:trPr>
          <w:trHeight w:val="1600"/>
        </w:trPr>
        <w:tc>
          <w:tcPr>
            <w:tcW w:w="1696" w:type="dxa"/>
            <w:shd w:val="clear" w:color="auto" w:fill="4F81BD" w:themeFill="accent1"/>
          </w:tcPr>
          <w:p w:rsidR="00124A9C" w:rsidRPr="00124A9C" w:rsidRDefault="00124A9C" w:rsidP="00950C8E">
            <w:pPr>
              <w:autoSpaceDE w:val="0"/>
              <w:autoSpaceDN w:val="0"/>
              <w:adjustRightInd w:val="0"/>
              <w:spacing w:line="300" w:lineRule="auto"/>
              <w:jc w:val="left"/>
              <w:rPr>
                <w:rFonts w:asciiTheme="minorEastAsia" w:hAnsiTheme="minorEastAsia"/>
                <w:szCs w:val="21"/>
              </w:rPr>
            </w:pPr>
            <w:r w:rsidRPr="00124A9C">
              <w:rPr>
                <w:rFonts w:asciiTheme="minorEastAsia" w:hAnsiTheme="minorEastAsia" w:hint="eastAsia"/>
                <w:szCs w:val="21"/>
              </w:rPr>
              <w:t>控制</w:t>
            </w:r>
            <w:r w:rsidRPr="00124A9C">
              <w:rPr>
                <w:rFonts w:asciiTheme="minorEastAsia" w:hAnsiTheme="minorEastAsia"/>
                <w:szCs w:val="21"/>
              </w:rPr>
              <w:t>噪声排放</w:t>
            </w:r>
          </w:p>
        </w:tc>
        <w:tc>
          <w:tcPr>
            <w:tcW w:w="6600" w:type="dxa"/>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按照闹静分开的原则，设施合理布局</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选用噪声小、效率高的低噪声设备</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建设独立的操作室和控制机房隔离噪音</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设备采取隔声、消音、减震等降噪措施</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cs="AdobeSongStd-Light" w:hint="eastAsia"/>
                <w:kern w:val="0"/>
                <w:szCs w:val="21"/>
              </w:rPr>
              <w:t>◎</w:t>
            </w:r>
            <w:r w:rsidRPr="00124A9C">
              <w:rPr>
                <w:rFonts w:asciiTheme="minorEastAsia" w:hAnsiTheme="minorEastAsia" w:cs="FZLTHK--GBK1-0" w:hint="eastAsia"/>
                <w:kern w:val="0"/>
                <w:szCs w:val="21"/>
              </w:rPr>
              <w:t>项目建设同时在厂界周围种植</w:t>
            </w:r>
            <w:r w:rsidRPr="00124A9C">
              <w:rPr>
                <w:rFonts w:asciiTheme="minorEastAsia" w:hAnsiTheme="minorEastAsia" w:cs="FZLTHK--GBK1-0"/>
                <w:kern w:val="0"/>
                <w:szCs w:val="21"/>
              </w:rPr>
              <w:t>10</w:t>
            </w:r>
            <w:r w:rsidRPr="00124A9C">
              <w:rPr>
                <w:rFonts w:asciiTheme="minorEastAsia" w:hAnsiTheme="minorEastAsia" w:cs="FZLTHK--GBK1-0" w:hint="eastAsia"/>
                <w:kern w:val="0"/>
                <w:szCs w:val="21"/>
              </w:rPr>
              <w:t>米宽乔灌木绿化围墙，吸声降噪</w:t>
            </w:r>
          </w:p>
        </w:tc>
      </w:tr>
    </w:tbl>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p>
    <w:p w:rsidR="00124A9C" w:rsidRPr="00950C8E" w:rsidRDefault="00124A9C" w:rsidP="00950C8E">
      <w:pPr>
        <w:autoSpaceDE w:val="0"/>
        <w:autoSpaceDN w:val="0"/>
        <w:adjustRightInd w:val="0"/>
        <w:spacing w:line="300" w:lineRule="auto"/>
        <w:ind w:firstLineChars="200" w:firstLine="422"/>
        <w:jc w:val="left"/>
        <w:rPr>
          <w:rFonts w:asciiTheme="minorEastAsia" w:hAnsiTheme="minorEastAsia"/>
          <w:b/>
          <w:szCs w:val="21"/>
        </w:rPr>
      </w:pPr>
      <w:r w:rsidRPr="00950C8E">
        <w:rPr>
          <w:rFonts w:asciiTheme="minorEastAsia" w:hAnsiTheme="minorEastAsia" w:hint="eastAsia"/>
          <w:b/>
          <w:szCs w:val="21"/>
        </w:rPr>
        <w:t>提高能源</w:t>
      </w:r>
      <w:r w:rsidRPr="00950C8E">
        <w:rPr>
          <w:rFonts w:asciiTheme="minorEastAsia" w:hAnsiTheme="minorEastAsia"/>
          <w:b/>
          <w:szCs w:val="21"/>
        </w:rPr>
        <w:t>利用率</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公司推广先进的生产方式，从制度、技术、管理等方面提高能源、资源利用效率，实现废弃物减量化和资源化，构建循环经济产业链。</w:t>
      </w:r>
    </w:p>
    <w:p w:rsidR="00124A9C" w:rsidRPr="00124A9C" w:rsidRDefault="00124A9C" w:rsidP="00124A9C">
      <w:pPr>
        <w:pStyle w:val="aa"/>
        <w:numPr>
          <w:ilvl w:val="0"/>
          <w:numId w:val="7"/>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持续</w:t>
      </w:r>
      <w:r w:rsidRPr="00124A9C">
        <w:rPr>
          <w:rFonts w:asciiTheme="minorEastAsia" w:hAnsiTheme="minorEastAsia" w:cs="FZLTHK--GBK1-0"/>
          <w:kern w:val="0"/>
          <w:szCs w:val="21"/>
        </w:rPr>
        <w:t>实施节能技改，不断提高能源效率</w:t>
      </w:r>
    </w:p>
    <w:p w:rsidR="00124A9C" w:rsidRPr="00124A9C" w:rsidRDefault="00124A9C" w:rsidP="00124A9C">
      <w:pPr>
        <w:pStyle w:val="aa"/>
        <w:numPr>
          <w:ilvl w:val="0"/>
          <w:numId w:val="7"/>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开展开源节流、</w:t>
      </w:r>
      <w:r w:rsidRPr="00124A9C">
        <w:rPr>
          <w:rFonts w:asciiTheme="minorEastAsia" w:hAnsiTheme="minorEastAsia" w:cs="FZLTHK--GBK1-0"/>
          <w:kern w:val="0"/>
          <w:szCs w:val="21"/>
        </w:rPr>
        <w:t>节约增效激励工作，产生良好经济效益</w:t>
      </w:r>
    </w:p>
    <w:p w:rsidR="00124A9C" w:rsidRPr="00124A9C" w:rsidRDefault="00124A9C" w:rsidP="00124A9C">
      <w:pPr>
        <w:pStyle w:val="aa"/>
        <w:numPr>
          <w:ilvl w:val="0"/>
          <w:numId w:val="7"/>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完善计量器具管理</w:t>
      </w:r>
      <w:r w:rsidRPr="00124A9C">
        <w:rPr>
          <w:rFonts w:asciiTheme="minorEastAsia" w:hAnsiTheme="minorEastAsia" w:cs="FZLTHK--GBK1-0"/>
          <w:kern w:val="0"/>
          <w:szCs w:val="21"/>
        </w:rPr>
        <w:t>，满足能源管理要求</w:t>
      </w:r>
    </w:p>
    <w:p w:rsidR="00124A9C" w:rsidRPr="00124A9C" w:rsidRDefault="00124A9C" w:rsidP="00124A9C">
      <w:pPr>
        <w:pStyle w:val="aa"/>
        <w:numPr>
          <w:ilvl w:val="0"/>
          <w:numId w:val="7"/>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kern w:val="0"/>
          <w:szCs w:val="21"/>
        </w:rPr>
        <w:t>85%再生资源循环利用率</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w:t>
      </w:r>
      <w:r w:rsidRPr="00124A9C">
        <w:rPr>
          <w:rFonts w:asciiTheme="minorEastAsia" w:hAnsiTheme="minorEastAsia" w:cs="FZLTHK--GBK1-0"/>
          <w:kern w:val="0"/>
          <w:szCs w:val="21"/>
        </w:rPr>
        <w:t>：锅炉节能管控</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公司对锅炉排污余热进行充分换热利用，对软水预加热，通过换热后，锅炉污水排放温度可下降约</w:t>
      </w:r>
      <w:r w:rsidRPr="00124A9C">
        <w:rPr>
          <w:rFonts w:asciiTheme="minorEastAsia" w:hAnsiTheme="minorEastAsia" w:cs="FZLTHK--GBK1-0"/>
          <w:kern w:val="0"/>
          <w:szCs w:val="21"/>
        </w:rPr>
        <w:t>40</w:t>
      </w:r>
      <w:r w:rsidRPr="00124A9C">
        <w:rPr>
          <w:rFonts w:asciiTheme="minorEastAsia" w:hAnsiTheme="minorEastAsia" w:cs="FZLTHK--GBK1-0" w:hint="eastAsia"/>
          <w:kern w:val="0"/>
          <w:szCs w:val="21"/>
        </w:rPr>
        <w:t>℃，软水温度可提升</w:t>
      </w:r>
      <w:r w:rsidRPr="00124A9C">
        <w:rPr>
          <w:rFonts w:asciiTheme="minorEastAsia" w:hAnsiTheme="minorEastAsia" w:cs="FZLTHK--GBK1-0"/>
          <w:kern w:val="0"/>
          <w:szCs w:val="21"/>
        </w:rPr>
        <w:t>35</w:t>
      </w:r>
      <w:r w:rsidRPr="00124A9C">
        <w:rPr>
          <w:rFonts w:asciiTheme="minorEastAsia" w:hAnsiTheme="minorEastAsia" w:cs="FZLTHK--GBK1-0" w:hint="eastAsia"/>
          <w:kern w:val="0"/>
          <w:szCs w:val="21"/>
        </w:rPr>
        <w:t>℃以上，按每天耗用</w:t>
      </w:r>
      <w:r w:rsidRPr="00124A9C">
        <w:rPr>
          <w:rFonts w:asciiTheme="minorEastAsia" w:hAnsiTheme="minorEastAsia" w:cs="FZLTHK--GBK1-0"/>
          <w:kern w:val="0"/>
          <w:szCs w:val="21"/>
        </w:rPr>
        <w:t>500</w:t>
      </w:r>
      <w:r w:rsidRPr="00124A9C">
        <w:rPr>
          <w:rFonts w:asciiTheme="minorEastAsia" w:hAnsiTheme="minorEastAsia" w:cs="FZLTHK--GBK1-0" w:hint="eastAsia"/>
          <w:kern w:val="0"/>
          <w:szCs w:val="21"/>
        </w:rPr>
        <w:t>吨软水计算，每天节约用煤约</w:t>
      </w:r>
      <w:r w:rsidRPr="00124A9C">
        <w:rPr>
          <w:rFonts w:asciiTheme="minorEastAsia" w:hAnsiTheme="minorEastAsia" w:cs="FZLTHK--GBK1-0"/>
          <w:kern w:val="0"/>
          <w:szCs w:val="21"/>
        </w:rPr>
        <w:t>3</w:t>
      </w:r>
      <w:r w:rsidRPr="00124A9C">
        <w:rPr>
          <w:rFonts w:asciiTheme="minorEastAsia" w:hAnsiTheme="minorEastAsia" w:cs="FZLTHK--GBK1-0" w:hint="eastAsia"/>
          <w:kern w:val="0"/>
          <w:szCs w:val="21"/>
        </w:rPr>
        <w:t>吨，一个月可少用燃煤</w:t>
      </w:r>
      <w:r w:rsidRPr="00124A9C">
        <w:rPr>
          <w:rFonts w:asciiTheme="minorEastAsia" w:hAnsiTheme="minorEastAsia" w:cs="FZLTHK--GBK1-0"/>
          <w:kern w:val="0"/>
          <w:szCs w:val="21"/>
        </w:rPr>
        <w:t>90</w:t>
      </w:r>
      <w:r w:rsidRPr="00124A9C">
        <w:rPr>
          <w:rFonts w:asciiTheme="minorEastAsia" w:hAnsiTheme="minorEastAsia" w:cs="FZLTHK--GBK1-0" w:hint="eastAsia"/>
          <w:kern w:val="0"/>
          <w:szCs w:val="21"/>
        </w:rPr>
        <w:t>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950C8E" w:rsidRDefault="00124A9C" w:rsidP="00950C8E">
      <w:pPr>
        <w:autoSpaceDE w:val="0"/>
        <w:autoSpaceDN w:val="0"/>
        <w:adjustRightInd w:val="0"/>
        <w:spacing w:line="300" w:lineRule="auto"/>
        <w:ind w:firstLineChars="200" w:firstLine="422"/>
        <w:jc w:val="left"/>
        <w:rPr>
          <w:rFonts w:asciiTheme="minorEastAsia" w:hAnsiTheme="minorEastAsia" w:cs="FZLTZHK--GBK1-0"/>
          <w:b/>
          <w:kern w:val="0"/>
          <w:szCs w:val="21"/>
        </w:rPr>
      </w:pPr>
      <w:r w:rsidRPr="00950C8E">
        <w:rPr>
          <w:rFonts w:asciiTheme="minorEastAsia" w:hAnsiTheme="minorEastAsia" w:cs="FZLTZHK--GBK1-0" w:hint="eastAsia"/>
          <w:b/>
          <w:kern w:val="0"/>
          <w:szCs w:val="21"/>
        </w:rPr>
        <w:t>绿色环保行动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践行绿色企业文化，开展绿色公益活动，共建碧水蓝天。公司秉持“花园式工厂”的理念，积极推行绿色办公，并将严肃的化工气氛轻松化，打造绿色生态园区，实现人与自然和谐相处。</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公司从点滴小事着手，在厂区醒目处设置环保宣传标语，并举办多次环保讲座，提升员工环保意识。开展绿色办公，上线办公系统，应用电子文档、</w:t>
      </w:r>
      <w:r w:rsidRPr="00124A9C">
        <w:rPr>
          <w:rFonts w:asciiTheme="minorEastAsia" w:hAnsiTheme="minorEastAsia" w:cs="FZLTHK--GBK1-0"/>
          <w:kern w:val="0"/>
          <w:szCs w:val="21"/>
        </w:rPr>
        <w:t>K3</w:t>
      </w:r>
      <w:r w:rsidRPr="00124A9C">
        <w:rPr>
          <w:rFonts w:asciiTheme="minorEastAsia" w:hAnsiTheme="minorEastAsia" w:cs="FZLTHK--GBK1-0" w:hint="eastAsia"/>
          <w:kern w:val="0"/>
          <w:szCs w:val="21"/>
        </w:rPr>
        <w:t>金蝶软件，大大减少纸张的应用，此外公司应用“云之家”管理体统，实现电子考勤和智能办公，进一步减少了纸张的浪费。公司还创新公益形式，向当地居民宣传绿色环保理念，倡导低碳环保生活。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16" w:name="_Toc458770051"/>
      <w:r w:rsidRPr="00124A9C">
        <w:rPr>
          <w:rFonts w:asciiTheme="minorEastAsia" w:hAnsiTheme="minorEastAsia" w:cs="Times New Roman" w:hint="eastAsia"/>
          <w:b/>
          <w:kern w:val="44"/>
          <w:sz w:val="32"/>
          <w:szCs w:val="32"/>
        </w:rPr>
        <w:lastRenderedPageBreak/>
        <w:t>开创伙伴共赢的局面</w:t>
      </w:r>
      <w:bookmarkEnd w:id="16"/>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利民股份与各方伙伴协同合作，分享可持续发展最佳实践，为产业链的可持续发展带来贡献和价值，与合作伙伴实现共成长、齐发展。</w:t>
      </w:r>
    </w:p>
    <w:p w:rsidR="00950C8E" w:rsidRDefault="00950C8E"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950C8E" w:rsidRDefault="00124A9C" w:rsidP="00950C8E">
      <w:pPr>
        <w:autoSpaceDE w:val="0"/>
        <w:autoSpaceDN w:val="0"/>
        <w:adjustRightInd w:val="0"/>
        <w:spacing w:line="300" w:lineRule="auto"/>
        <w:ind w:firstLineChars="200" w:firstLine="422"/>
        <w:jc w:val="left"/>
        <w:rPr>
          <w:rFonts w:asciiTheme="minorEastAsia" w:hAnsiTheme="minorEastAsia" w:cs="FZLTHK--GBK1-0"/>
          <w:b/>
          <w:kern w:val="0"/>
          <w:szCs w:val="21"/>
        </w:rPr>
      </w:pPr>
      <w:r w:rsidRPr="00950C8E">
        <w:rPr>
          <w:rFonts w:asciiTheme="minorEastAsia" w:hAnsiTheme="minorEastAsia" w:cs="FZLTHK--GBK1-0" w:hint="eastAsia"/>
          <w:b/>
          <w:kern w:val="0"/>
          <w:szCs w:val="21"/>
        </w:rPr>
        <w:t>荣誉</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★获评中国农药工业协会“</w:t>
      </w:r>
      <w:r w:rsidRPr="00124A9C">
        <w:rPr>
          <w:rFonts w:asciiTheme="minorEastAsia" w:hAnsiTheme="minorEastAsia" w:cs="FZLTHK--GBK1-0"/>
          <w:kern w:val="0"/>
          <w:szCs w:val="21"/>
        </w:rPr>
        <w:t>2014</w:t>
      </w:r>
      <w:r w:rsidRPr="00124A9C">
        <w:rPr>
          <w:rFonts w:asciiTheme="minorEastAsia" w:hAnsiTheme="minorEastAsia" w:cs="FZLTHK--GBK1-0" w:hint="eastAsia"/>
          <w:kern w:val="0"/>
          <w:szCs w:val="21"/>
        </w:rPr>
        <w:t>年度中国农药出口额</w:t>
      </w:r>
      <w:r w:rsidRPr="00124A9C">
        <w:rPr>
          <w:rFonts w:asciiTheme="minorEastAsia" w:hAnsiTheme="minorEastAsia" w:cs="FZLTHK--GBK1-0"/>
          <w:kern w:val="0"/>
          <w:szCs w:val="21"/>
        </w:rPr>
        <w:t>30</w:t>
      </w:r>
      <w:r w:rsidRPr="00124A9C">
        <w:rPr>
          <w:rFonts w:asciiTheme="minorEastAsia" w:hAnsiTheme="minorEastAsia" w:cs="FZLTHK--GBK1-0" w:hint="eastAsia"/>
          <w:kern w:val="0"/>
          <w:szCs w:val="21"/>
        </w:rPr>
        <w:t>强”</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★获评中国农药工业协会“</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中国农药行业销售百强”。</w:t>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7" w:name="_Toc458770052"/>
      <w:r w:rsidRPr="00124A9C">
        <w:rPr>
          <w:rFonts w:ascii="宋体" w:eastAsia="宋体" w:hAnsi="宋体" w:cs="宋体" w:hint="eastAsia"/>
          <w:b/>
          <w:color w:val="0D0D0D"/>
          <w:kern w:val="44"/>
          <w:sz w:val="28"/>
          <w:szCs w:val="28"/>
        </w:rPr>
        <w:t>打造责任供应链</w:t>
      </w:r>
      <w:bookmarkEnd w:id="17"/>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公司在推动自身可持续发展的同时，持续加强供应商、分包商履责能力建设，杜绝收贿受贿等不当行为，与其携手并进，共同打造责任供应链。</w:t>
      </w:r>
    </w:p>
    <w:p w:rsidR="00124A9C" w:rsidRPr="00950C8E" w:rsidRDefault="00124A9C" w:rsidP="00950C8E">
      <w:pPr>
        <w:autoSpaceDE w:val="0"/>
        <w:autoSpaceDN w:val="0"/>
        <w:adjustRightInd w:val="0"/>
        <w:spacing w:line="300" w:lineRule="auto"/>
        <w:ind w:firstLineChars="200" w:firstLine="422"/>
        <w:jc w:val="left"/>
        <w:rPr>
          <w:rFonts w:asciiTheme="minorEastAsia" w:hAnsiTheme="minorEastAsia" w:cs="FZLTZHK--GBK1-0"/>
          <w:b/>
          <w:kern w:val="0"/>
          <w:szCs w:val="21"/>
        </w:rPr>
      </w:pPr>
      <w:r w:rsidRPr="00950C8E">
        <w:rPr>
          <w:rFonts w:asciiTheme="minorEastAsia" w:hAnsiTheme="minorEastAsia" w:cs="FZLTZHK--GBK1-0" w:hint="eastAsia"/>
          <w:b/>
          <w:kern w:val="0"/>
          <w:szCs w:val="21"/>
        </w:rPr>
        <w:t>供应链管理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加强供应链管理已成为企业提升核心竞争力的重要趋势。公司培育长期、优质的供应商资源，提升公司供应商管理的效率与水平，推动供应链合作伙伴共同发展。</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ZHK--GBK1-0" w:hint="eastAsia"/>
          <w:kern w:val="0"/>
          <w:szCs w:val="21"/>
        </w:rPr>
        <w:t>供应商审核：</w:t>
      </w:r>
      <w:r w:rsidRPr="00124A9C">
        <w:rPr>
          <w:rFonts w:asciiTheme="minorEastAsia" w:hAnsiTheme="minorEastAsia" w:cs="FZLTHK--GBK1-0" w:hint="eastAsia"/>
          <w:kern w:val="0"/>
          <w:szCs w:val="21"/>
        </w:rPr>
        <w:t>定期评估供应商，并对其进行审核，优化供应商结构，确保良好稳定的供应商关系。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ZHK--GBK1-0" w:hint="eastAsia"/>
          <w:kern w:val="0"/>
          <w:szCs w:val="21"/>
        </w:rPr>
        <w:t>供应商权益保护：</w:t>
      </w:r>
      <w:r w:rsidRPr="00124A9C">
        <w:rPr>
          <w:rFonts w:asciiTheme="minorEastAsia" w:hAnsiTheme="minorEastAsia" w:cs="FZLTHK--GBK1-0" w:hint="eastAsia"/>
          <w:kern w:val="0"/>
          <w:szCs w:val="21"/>
        </w:rPr>
        <w:t>遵守国家及地方的法律法规，建立健全供应商保护机制，保障供应商合法权益。</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AdobeSongStd-Light" w:hint="eastAsia"/>
          <w:kern w:val="0"/>
          <w:szCs w:val="21"/>
        </w:rPr>
        <w:t>◎</w:t>
      </w:r>
      <w:r w:rsidRPr="00124A9C">
        <w:rPr>
          <w:rFonts w:asciiTheme="minorEastAsia" w:hAnsiTheme="minorEastAsia" w:cs="FZLTZHK--GBK1-0" w:hint="eastAsia"/>
          <w:kern w:val="0"/>
          <w:szCs w:val="21"/>
        </w:rPr>
        <w:t>负责任采购</w:t>
      </w:r>
      <w:r w:rsidRPr="00124A9C">
        <w:rPr>
          <w:rFonts w:asciiTheme="minorEastAsia" w:hAnsiTheme="minorEastAsia" w:cs="FZLTHK--GBK1-0" w:hint="eastAsia"/>
          <w:kern w:val="0"/>
          <w:szCs w:val="21"/>
        </w:rPr>
        <w:t>：延伸绿色产业链条，充分考虑原料获取过程对环境的影响，加大材料招标中绿色、环保的评分权重，实现采购源头的绿色环保。</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drawing>
          <wp:inline distT="0" distB="0" distL="0" distR="0">
            <wp:extent cx="3323809" cy="2647619"/>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323809" cy="2647619"/>
                    </a:xfrm>
                    <a:prstGeom prst="rect">
                      <a:avLst/>
                    </a:prstGeom>
                  </pic:spPr>
                </pic:pic>
              </a:graphicData>
            </a:graphic>
          </wp:inline>
        </w:drawing>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w:t>
      </w:r>
      <w:r w:rsidRPr="00124A9C">
        <w:rPr>
          <w:rFonts w:asciiTheme="minorEastAsia" w:hAnsiTheme="minorEastAsia" w:cs="FZLTHK--GBK1-0"/>
          <w:kern w:val="0"/>
          <w:szCs w:val="21"/>
        </w:rPr>
        <w:t>：电子采购管理系统上线运行</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公司电子采购管理系统上线运行。电子采购平台有效减少人为因素对采购的影响，避免</w:t>
      </w:r>
      <w:r w:rsidRPr="00124A9C">
        <w:rPr>
          <w:rFonts w:asciiTheme="minorEastAsia" w:hAnsiTheme="minorEastAsia" w:cs="FZLTHK--GBK1-0" w:hint="eastAsia"/>
          <w:kern w:val="0"/>
          <w:szCs w:val="21"/>
        </w:rPr>
        <w:lastRenderedPageBreak/>
        <w:t>了信息不对称对供应商报价造成不利导向，为供应商提供平等的谈判机会；同时可自动生成比价单，提高工作效率。截至</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年底，网上采购金额达</w:t>
      </w:r>
      <w:r w:rsidRPr="00124A9C">
        <w:rPr>
          <w:rFonts w:asciiTheme="minorEastAsia" w:hAnsiTheme="minorEastAsia" w:cs="FZLTHK--GBK1-0"/>
          <w:kern w:val="0"/>
          <w:szCs w:val="21"/>
        </w:rPr>
        <w:t>2.32</w:t>
      </w:r>
      <w:r w:rsidRPr="00124A9C">
        <w:rPr>
          <w:rFonts w:asciiTheme="minorEastAsia" w:hAnsiTheme="minorEastAsia" w:cs="FZLTHK--GBK1-0" w:hint="eastAsia"/>
          <w:kern w:val="0"/>
          <w:szCs w:val="21"/>
        </w:rPr>
        <w:t>亿元。</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供应链企业成长</w:t>
      </w:r>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公司发挥自身在行业领域的技术水平和专业优势，通过见面会、培训等形式了解供应商和分包商遇到的困难，探讨可持续发展合作模式，提升供应链伙伴专业能力，实现共同发展。</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年，供应商培训投入</w:t>
      </w:r>
      <w:r w:rsidRPr="00124A9C">
        <w:rPr>
          <w:rFonts w:asciiTheme="minorEastAsia" w:hAnsiTheme="minorEastAsia" w:cs="FZLTHK--GBK1-0"/>
          <w:kern w:val="0"/>
          <w:szCs w:val="21"/>
        </w:rPr>
        <w:t>6</w:t>
      </w:r>
      <w:r w:rsidRPr="00124A9C">
        <w:rPr>
          <w:rFonts w:asciiTheme="minorEastAsia" w:hAnsiTheme="minorEastAsia" w:cs="FZLTHK--GBK1-0" w:hint="eastAsia"/>
          <w:kern w:val="0"/>
          <w:szCs w:val="21"/>
        </w:rPr>
        <w:t>万元，培训人数</w:t>
      </w:r>
      <w:r w:rsidRPr="00124A9C">
        <w:rPr>
          <w:rFonts w:asciiTheme="minorEastAsia" w:hAnsiTheme="minorEastAsia" w:cs="FZLTHK--GBK1-0"/>
          <w:kern w:val="0"/>
          <w:szCs w:val="21"/>
        </w:rPr>
        <w:t>580</w:t>
      </w:r>
      <w:r w:rsidRPr="00124A9C">
        <w:rPr>
          <w:rFonts w:asciiTheme="minorEastAsia" w:hAnsiTheme="minorEastAsia" w:cs="FZLTHK--GBK1-0" w:hint="eastAsia"/>
          <w:kern w:val="0"/>
          <w:szCs w:val="21"/>
        </w:rPr>
        <w:t>人次。</w:t>
      </w:r>
    </w:p>
    <w:p w:rsidR="00DA0DEB" w:rsidRPr="00124A9C"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战略合作</w:t>
      </w:r>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公司积极推进与企业及高校对接，在项目建设、技术研发等方面不断拓展合作领域，寻求更多合作方式，共享发展成果。</w:t>
      </w:r>
    </w:p>
    <w:p w:rsidR="00DA0DEB" w:rsidRPr="00124A9C"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国际间企业合作</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■与杜邦、先正达、陶氏益农、拜耳、汉姆等跨国公司建立长期合作关系，积极配合过程审核，取长补短，有效扩大品牌的传播和影响。</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■以合作促创新，通过全方位合作调整产品结构，加快升级换代步伐。</w:t>
      </w:r>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■以合作谋发展，与供应商结成战略联盟，实现合作共赢。</w:t>
      </w:r>
    </w:p>
    <w:p w:rsidR="00950C8E" w:rsidRPr="00124A9C" w:rsidRDefault="00950C8E"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案例：中间性试验基地</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为推进科学发展、合作共赢的价值观念，公司以纪念日、交流会等方式，积极与巴斯夫</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中国</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有限公司开展深度交流。双方根据各自的经营情况，对重大项目、重要产品进行交流会谈，建立了友好互信的合作关系。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高校、科研所合作</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■与中国科学院大连物化所、沈阳化工研究院、湖南化工研究院、南开大学农药国家工程中心、南京工业大学、东南大学等科研院所和高等院校建立长期的合作关系，加强沟通和技术交流。</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■国家级博士后工作站现有博士</w:t>
      </w:r>
      <w:r w:rsidRPr="00124A9C">
        <w:rPr>
          <w:rFonts w:asciiTheme="minorEastAsia" w:hAnsiTheme="minorEastAsia" w:cs="FZLTHK--GBK1-0"/>
          <w:kern w:val="0"/>
          <w:szCs w:val="21"/>
        </w:rPr>
        <w:t>8</w:t>
      </w:r>
      <w:r w:rsidRPr="00124A9C">
        <w:rPr>
          <w:rFonts w:asciiTheme="minorEastAsia" w:hAnsiTheme="minorEastAsia" w:cs="FZLTHK--GBK1-0" w:hint="eastAsia"/>
          <w:kern w:val="0"/>
          <w:szCs w:val="21"/>
        </w:rPr>
        <w:t>名，另聘请</w:t>
      </w:r>
      <w:r w:rsidRPr="00124A9C">
        <w:rPr>
          <w:rFonts w:asciiTheme="minorEastAsia" w:hAnsiTheme="minorEastAsia" w:cs="FZLTHK--GBK1-0"/>
          <w:kern w:val="0"/>
          <w:szCs w:val="21"/>
        </w:rPr>
        <w:t>12</w:t>
      </w:r>
      <w:r w:rsidRPr="00124A9C">
        <w:rPr>
          <w:rFonts w:asciiTheme="minorEastAsia" w:hAnsiTheme="minorEastAsia" w:cs="FZLTHK--GBK1-0" w:hint="eastAsia"/>
          <w:kern w:val="0"/>
          <w:szCs w:val="21"/>
        </w:rPr>
        <w:t>名专家、教授作为长期技术顾问，加强学术知识建设，奠定理论基础。</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案例：中间性试验基地</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为促进共同发展、达到技术进步的目标，与湖南化工研究院国家农药工程技术创制中心南方基地合作成立“国家农药工程技术创制中间性试验（新沂）基地”。公司高度重视与科研所的合作，期望实现效益共享、合作共赢。双方根据现实情况积极发挥各自的优势，将技术创新作为发展的核心动力，保证基地的顺利运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8" w:name="_Toc458770053"/>
      <w:r w:rsidRPr="00124A9C">
        <w:rPr>
          <w:rFonts w:ascii="宋体" w:eastAsia="宋体" w:hAnsi="宋体" w:cs="宋体" w:hint="eastAsia"/>
          <w:b/>
          <w:color w:val="0D0D0D"/>
          <w:kern w:val="44"/>
          <w:sz w:val="28"/>
          <w:szCs w:val="28"/>
        </w:rPr>
        <w:lastRenderedPageBreak/>
        <w:t>推动行业进步</w:t>
      </w:r>
      <w:bookmarkEnd w:id="18"/>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公司在寻求企业发展不竭动力的同时，投身于行业标准的制定，深入开展与行业之间的合作交流，实现企业与社会的和谐共赢。</w:t>
      </w:r>
    </w:p>
    <w:p w:rsidR="00DA0DEB" w:rsidRPr="00124A9C"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行业交流</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公司不断加强与同行业之间的科技合作交流，实现优势互补，不断提高企业技术竞争力。</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■参加“</w:t>
      </w:r>
      <w:r w:rsidRPr="00124A9C">
        <w:rPr>
          <w:rFonts w:asciiTheme="minorEastAsia" w:hAnsiTheme="minorEastAsia" w:cs="FZLTHK--GBK1-0"/>
          <w:kern w:val="0"/>
          <w:szCs w:val="21"/>
        </w:rPr>
        <w:t>FCI</w:t>
      </w:r>
      <w:r w:rsidRPr="00124A9C">
        <w:rPr>
          <w:rFonts w:asciiTheme="minorEastAsia" w:hAnsiTheme="minorEastAsia" w:cs="FZLTHK--GBK1-0" w:hint="eastAsia"/>
          <w:kern w:val="0"/>
          <w:szCs w:val="21"/>
        </w:rPr>
        <w:t>全球农化行业新领袖特训营”，理解欧美市场开发最佳的营销策略、辨别欧美市场中主要的市场和产品机遇等。</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■与中国农药工业协会共同主办“柑橘健康高产全程解决方案”研讨会，集思广益，发挥协同作用，商讨解决问题的方案。</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■参与由中国石油和化学工业联合会、中国化工环保协会、盐城市政府主办的全国化工行业环境保护与清洁生产会议，就行业内环保难题进行交流与讨论。</w:t>
      </w:r>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■参加中国农药工业协会非农业用药专业委员会成立大会，就各自涉及非农领域用药现状与发展进行广泛的交流与探讨。</w:t>
      </w:r>
    </w:p>
    <w:p w:rsidR="00DA0DEB" w:rsidRPr="00124A9C"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标准制定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noProof/>
          <w:szCs w:val="21"/>
        </w:rPr>
      </w:pPr>
      <w:r w:rsidRPr="00124A9C">
        <w:rPr>
          <w:rFonts w:asciiTheme="minorEastAsia" w:hAnsiTheme="minorEastAsia" w:cs="FZLTHK--GBK1-0" w:hint="eastAsia"/>
          <w:kern w:val="0"/>
          <w:szCs w:val="21"/>
        </w:rPr>
        <w:t>公司积极发挥企业的经验和优势，主动参与国家和行业发展研究、规划及标准制定，推进产业结构升级，为行业发展贡献力量。截至</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年底，共参与</w:t>
      </w:r>
      <w:r w:rsidRPr="00124A9C">
        <w:rPr>
          <w:rFonts w:asciiTheme="minorEastAsia" w:hAnsiTheme="minorEastAsia" w:cs="FZLTHK--GBK1-0"/>
          <w:kern w:val="0"/>
          <w:szCs w:val="21"/>
        </w:rPr>
        <w:t>15</w:t>
      </w:r>
      <w:r w:rsidRPr="00124A9C">
        <w:rPr>
          <w:rFonts w:asciiTheme="minorEastAsia" w:hAnsiTheme="minorEastAsia" w:cs="FZLTHK--GBK1-0" w:hint="eastAsia"/>
          <w:kern w:val="0"/>
          <w:szCs w:val="21"/>
        </w:rPr>
        <w:t>个国家标准制定，参与</w:t>
      </w:r>
      <w:r w:rsidRPr="00124A9C">
        <w:rPr>
          <w:rFonts w:asciiTheme="minorEastAsia" w:hAnsiTheme="minorEastAsia" w:cs="FZLTHK--GBK1-0"/>
          <w:kern w:val="0"/>
          <w:szCs w:val="21"/>
        </w:rPr>
        <w:t>6</w:t>
      </w:r>
      <w:r w:rsidRPr="00124A9C">
        <w:rPr>
          <w:rFonts w:asciiTheme="minorEastAsia" w:hAnsiTheme="minorEastAsia" w:cs="FZLTHK--GBK1-0" w:hint="eastAsia"/>
          <w:kern w:val="0"/>
          <w:szCs w:val="21"/>
        </w:rPr>
        <w:t>个行业标准制定。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drawing>
          <wp:inline distT="0" distB="0" distL="0" distR="0">
            <wp:extent cx="5274310" cy="280543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274310" cy="2805430"/>
                    </a:xfrm>
                    <a:prstGeom prst="rect">
                      <a:avLst/>
                    </a:prstGeom>
                  </pic:spPr>
                </pic:pic>
              </a:graphicData>
            </a:graphic>
          </wp:inline>
        </w:drawing>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19" w:name="_Toc458770054"/>
      <w:r w:rsidRPr="00124A9C">
        <w:rPr>
          <w:rFonts w:ascii="宋体" w:eastAsia="宋体" w:hAnsi="宋体" w:cs="宋体" w:hint="eastAsia"/>
          <w:b/>
          <w:color w:val="0D0D0D"/>
          <w:kern w:val="44"/>
          <w:sz w:val="28"/>
          <w:szCs w:val="28"/>
        </w:rPr>
        <w:t>投资者权益保护</w:t>
      </w:r>
      <w:bookmarkEnd w:id="19"/>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为维护和保障投资者的利益，公司不断完善信息披露，积极促进与投资者的良好沟通，</w:t>
      </w:r>
      <w:r w:rsidRPr="00124A9C">
        <w:rPr>
          <w:rFonts w:asciiTheme="minorEastAsia" w:hAnsiTheme="minorEastAsia" w:cs="FZLTHK--GBK1-0" w:hint="eastAsia"/>
          <w:kern w:val="0"/>
          <w:szCs w:val="21"/>
        </w:rPr>
        <w:lastRenderedPageBreak/>
        <w:t>并持续加强投资者风险教育。</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年度在《证券时报》和巨潮资讯网上共发布</w:t>
      </w:r>
      <w:r w:rsidRPr="00124A9C">
        <w:rPr>
          <w:rFonts w:asciiTheme="minorEastAsia" w:hAnsiTheme="minorEastAsia" w:cs="FZLTHK--GBK1-0"/>
          <w:kern w:val="0"/>
          <w:szCs w:val="21"/>
        </w:rPr>
        <w:t>193</w:t>
      </w:r>
      <w:r w:rsidRPr="00124A9C">
        <w:rPr>
          <w:rFonts w:asciiTheme="minorEastAsia" w:hAnsiTheme="minorEastAsia" w:cs="FZLTHK--GBK1-0" w:hint="eastAsia"/>
          <w:kern w:val="0"/>
          <w:szCs w:val="21"/>
        </w:rPr>
        <w:t>项公告，向深交所报送</w:t>
      </w:r>
      <w:r w:rsidRPr="00124A9C">
        <w:rPr>
          <w:rFonts w:asciiTheme="minorEastAsia" w:hAnsiTheme="minorEastAsia" w:cs="FZLTHK--GBK1-0"/>
          <w:kern w:val="0"/>
          <w:szCs w:val="21"/>
        </w:rPr>
        <w:t>93</w:t>
      </w:r>
      <w:r w:rsidRPr="00124A9C">
        <w:rPr>
          <w:rFonts w:asciiTheme="minorEastAsia" w:hAnsiTheme="minorEastAsia" w:cs="FZLTHK--GBK1-0" w:hint="eastAsia"/>
          <w:kern w:val="0"/>
          <w:szCs w:val="21"/>
        </w:rPr>
        <w:t>项报备资料，信息披露及时、准确，信息透明度高。</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公司还通过不同的渠道和形式，接待各类媒体和投资者电话和实地来访，并通过网络平台互动易与投资者实时互动，与投资者进行了充分而有效的交流。公司充分考虑投资者、独立董事和监事会的意见，通过多种渠道主动与股东特别是中小股东进行沟通和交流，充分听取中小股东的意见和诉求，及时答复中小股东关心的问题。</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在股利政策及现金分红方面，重视对投资者的合理投资回报并兼顾公司的可持续发展，利润分配现金方式优先于股票方式，在满足公司正常生产经营的资金需求情况下，公司总体上每年以现金方式分配的利润不少于当年实现的可分配利润的百分之二十，或公司连续三年内以现金方式累计分配的利润不少于三年实现的年均可分配利润的百分之六十。</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和</w:t>
      </w:r>
      <w:r w:rsidRPr="00124A9C">
        <w:rPr>
          <w:rFonts w:asciiTheme="minorEastAsia" w:hAnsiTheme="minorEastAsia" w:cs="FZLTHK--GBK1-0"/>
          <w:kern w:val="0"/>
          <w:szCs w:val="21"/>
        </w:rPr>
        <w:t>2014</w:t>
      </w:r>
      <w:r w:rsidRPr="00124A9C">
        <w:rPr>
          <w:rFonts w:asciiTheme="minorEastAsia" w:hAnsiTheme="minorEastAsia" w:cs="FZLTHK--GBK1-0" w:hint="eastAsia"/>
          <w:kern w:val="0"/>
          <w:szCs w:val="21"/>
        </w:rPr>
        <w:t>年度公司分别发放现金股利</w:t>
      </w:r>
      <w:r w:rsidRPr="00124A9C">
        <w:rPr>
          <w:rFonts w:asciiTheme="minorEastAsia" w:hAnsiTheme="minorEastAsia" w:cs="FZLTHK--GBK1-0"/>
          <w:kern w:val="0"/>
          <w:szCs w:val="21"/>
        </w:rPr>
        <w:t>3900</w:t>
      </w:r>
      <w:r w:rsidRPr="00124A9C">
        <w:rPr>
          <w:rFonts w:asciiTheme="minorEastAsia" w:hAnsiTheme="minorEastAsia" w:cs="FZLTHK--GBK1-0" w:hint="eastAsia"/>
          <w:kern w:val="0"/>
          <w:szCs w:val="21"/>
        </w:rPr>
        <w:t>万元和</w:t>
      </w:r>
      <w:r w:rsidRPr="00124A9C">
        <w:rPr>
          <w:rFonts w:asciiTheme="minorEastAsia" w:hAnsiTheme="minorEastAsia" w:cs="FZLTHK--GBK1-0"/>
          <w:kern w:val="0"/>
          <w:szCs w:val="21"/>
        </w:rPr>
        <w:t>3000</w:t>
      </w:r>
      <w:r w:rsidRPr="00124A9C">
        <w:rPr>
          <w:rFonts w:asciiTheme="minorEastAsia" w:hAnsiTheme="minorEastAsia" w:cs="FZLTHK--GBK1-0" w:hint="eastAsia"/>
          <w:kern w:val="0"/>
          <w:szCs w:val="21"/>
        </w:rPr>
        <w:t>万元，约占合并报表中归属于上市公司股东的净利润的</w:t>
      </w:r>
      <w:r w:rsidRPr="00124A9C">
        <w:rPr>
          <w:rFonts w:asciiTheme="minorEastAsia" w:hAnsiTheme="minorEastAsia" w:cs="FZLTHK--GBK1-0"/>
          <w:kern w:val="0"/>
          <w:szCs w:val="21"/>
        </w:rPr>
        <w:t>58%</w:t>
      </w:r>
      <w:r w:rsidRPr="00124A9C">
        <w:rPr>
          <w:rFonts w:asciiTheme="minorEastAsia" w:hAnsiTheme="minorEastAsia" w:cs="FZLTHK--GBK1-0" w:hint="eastAsia"/>
          <w:kern w:val="0"/>
          <w:szCs w:val="21"/>
        </w:rPr>
        <w:t>和</w:t>
      </w:r>
      <w:r w:rsidRPr="00124A9C">
        <w:rPr>
          <w:rFonts w:asciiTheme="minorEastAsia" w:hAnsiTheme="minorEastAsia" w:cs="FZLTHK--GBK1-0"/>
          <w:kern w:val="0"/>
          <w:szCs w:val="21"/>
        </w:rPr>
        <w:t>62%</w:t>
      </w:r>
      <w:r w:rsidRPr="00124A9C">
        <w:rPr>
          <w:rFonts w:asciiTheme="minorEastAsia" w:hAnsiTheme="minorEastAsia" w:cs="FZLTHK--GBK1-0" w:hint="eastAsia"/>
          <w:kern w:val="0"/>
          <w:szCs w:val="21"/>
        </w:rPr>
        <w:t>。</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drawing>
          <wp:inline distT="0" distB="0" distL="0" distR="0">
            <wp:extent cx="3847619" cy="2000000"/>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847619" cy="2000000"/>
                    </a:xfrm>
                    <a:prstGeom prst="rect">
                      <a:avLst/>
                    </a:prstGeom>
                  </pic:spPr>
                </pic:pic>
              </a:graphicData>
            </a:graphic>
          </wp:inline>
        </w:drawing>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0" w:name="_Toc458770055"/>
      <w:r w:rsidRPr="00124A9C">
        <w:rPr>
          <w:rFonts w:ascii="宋体" w:eastAsia="宋体" w:hAnsi="宋体" w:cs="宋体" w:hint="eastAsia"/>
          <w:b/>
          <w:color w:val="0D0D0D"/>
          <w:kern w:val="44"/>
          <w:sz w:val="28"/>
          <w:szCs w:val="28"/>
        </w:rPr>
        <w:t>带动地方发展</w:t>
      </w:r>
      <w:bookmarkEnd w:id="20"/>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公司在发展自身的同时，利用经济优势和规模优势，积极纳税，促进就业，带动地方发展。</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年，公司纳税总额为</w:t>
      </w:r>
      <w:r w:rsidRPr="00124A9C">
        <w:rPr>
          <w:rFonts w:asciiTheme="minorEastAsia" w:hAnsiTheme="minorEastAsia" w:cs="FZLTHK--GBK1-0"/>
          <w:kern w:val="0"/>
          <w:szCs w:val="21"/>
        </w:rPr>
        <w:t>1829</w:t>
      </w:r>
      <w:r w:rsidRPr="00124A9C">
        <w:rPr>
          <w:rFonts w:asciiTheme="minorEastAsia" w:hAnsiTheme="minorEastAsia" w:cs="FZLTHK--GBK1-0" w:hint="eastAsia"/>
          <w:kern w:val="0"/>
          <w:szCs w:val="21"/>
        </w:rPr>
        <w:t>万元。</w:t>
      </w:r>
    </w:p>
    <w:p w:rsidR="00DA0DEB" w:rsidRPr="00124A9C"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树立发展典范</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■致力于打造安全、环保企业，树立行业典范。积极配合演习、参观，为新沂市发展贡献企业经验。</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促进就业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■利用多种渠道进行招聘，吸引人群就业，缓解当地就业压力。截至</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年底，拥有合同工</w:t>
      </w:r>
      <w:r w:rsidRPr="00124A9C">
        <w:rPr>
          <w:rFonts w:asciiTheme="minorEastAsia" w:hAnsiTheme="minorEastAsia" w:cs="FZLTHK--GBK1-0"/>
          <w:kern w:val="0"/>
          <w:szCs w:val="21"/>
        </w:rPr>
        <w:t>1000</w:t>
      </w:r>
      <w:r w:rsidRPr="00124A9C">
        <w:rPr>
          <w:rFonts w:asciiTheme="minorEastAsia" w:hAnsiTheme="minorEastAsia" w:cs="FZLTHK--GBK1-0" w:hint="eastAsia"/>
          <w:kern w:val="0"/>
          <w:szCs w:val="21"/>
        </w:rPr>
        <w:t>余人。</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推动农业发展</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■利用公司具备的最新技术，在考察当地农业发展现状的基础上，推动农业种植技术创新，降低病害损失。成立新沂小蜜蜂农业开发有限公司，探索生态农业发展。</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lastRenderedPageBreak/>
        <w:t>贡献城市建设</w:t>
      </w:r>
    </w:p>
    <w:p w:rsidR="00DA0DEB"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■修建乡村公路，促进经济发展；捐资</w:t>
      </w:r>
      <w:r w:rsidRPr="00124A9C">
        <w:rPr>
          <w:rFonts w:asciiTheme="minorEastAsia" w:hAnsiTheme="minorEastAsia" w:cs="FZLTHK--GBK1-0"/>
          <w:kern w:val="0"/>
          <w:szCs w:val="21"/>
        </w:rPr>
        <w:t>10</w:t>
      </w:r>
      <w:r w:rsidRPr="00124A9C">
        <w:rPr>
          <w:rFonts w:asciiTheme="minorEastAsia" w:hAnsiTheme="minorEastAsia" w:cs="FZLTHK--GBK1-0" w:hint="eastAsia"/>
          <w:kern w:val="0"/>
          <w:szCs w:val="21"/>
        </w:rPr>
        <w:t>万元修建</w:t>
      </w:r>
      <w:r w:rsidRPr="00124A9C">
        <w:rPr>
          <w:rFonts w:asciiTheme="minorEastAsia" w:hAnsiTheme="minorEastAsia" w:cs="FZLTHK--GBK1-0"/>
          <w:kern w:val="0"/>
          <w:szCs w:val="21"/>
        </w:rPr>
        <w:t>4A</w:t>
      </w:r>
      <w:r w:rsidRPr="00124A9C">
        <w:rPr>
          <w:rFonts w:asciiTheme="minorEastAsia" w:hAnsiTheme="minorEastAsia" w:cs="FZLTHK--GBK1-0" w:hint="eastAsia"/>
          <w:kern w:val="0"/>
          <w:szCs w:val="21"/>
        </w:rPr>
        <w:t>级旅游风景区——马陵山；捐资</w:t>
      </w:r>
      <w:r w:rsidRPr="00124A9C">
        <w:rPr>
          <w:rFonts w:asciiTheme="minorEastAsia" w:hAnsiTheme="minorEastAsia" w:cs="FZLTHK--GBK1-0"/>
          <w:kern w:val="0"/>
          <w:szCs w:val="21"/>
        </w:rPr>
        <w:t>10</w:t>
      </w:r>
      <w:r w:rsidRPr="00124A9C">
        <w:rPr>
          <w:rFonts w:asciiTheme="minorEastAsia" w:hAnsiTheme="minorEastAsia" w:cs="FZLTHK--GBK1-0" w:hint="eastAsia"/>
          <w:kern w:val="0"/>
          <w:szCs w:val="21"/>
        </w:rPr>
        <w:t>万元修建新沂市市民广场一角。</w:t>
      </w:r>
    </w:p>
    <w:p w:rsidR="00DA0DEB" w:rsidRDefault="00DA0DEB">
      <w:pPr>
        <w:widowControl/>
        <w:jc w:val="left"/>
        <w:rPr>
          <w:rFonts w:asciiTheme="minorEastAsia" w:hAnsiTheme="minorEastAsia" w:cs="FZLTHK--GBK1-0"/>
          <w:kern w:val="0"/>
          <w:szCs w:val="21"/>
        </w:rPr>
      </w:pPr>
      <w:r>
        <w:rPr>
          <w:rFonts w:asciiTheme="minorEastAsia" w:hAnsiTheme="minorEastAsia" w:cs="FZLTHK--GBK1-0"/>
          <w:kern w:val="0"/>
          <w:szCs w:val="21"/>
        </w:rPr>
        <w:br w:type="page"/>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21" w:name="_Toc458770056"/>
      <w:r w:rsidRPr="00124A9C">
        <w:rPr>
          <w:rFonts w:asciiTheme="minorEastAsia" w:hAnsiTheme="minorEastAsia" w:cs="Times New Roman" w:hint="eastAsia"/>
          <w:b/>
          <w:kern w:val="44"/>
          <w:sz w:val="32"/>
          <w:szCs w:val="32"/>
        </w:rPr>
        <w:t>绘就社区和谐的画卷</w:t>
      </w:r>
      <w:bookmarkEnd w:id="21"/>
    </w:p>
    <w:p w:rsid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利民股份坚持以人为本、科学发展的价值观念，走人性化的发展道路，努力将企业筑造为员工快乐工作、安全工作、幸福生活的“幸福企业”。公司关心弱势群体，积极参与爱心捐赠等社区公益事业，与社区共同进步。</w:t>
      </w:r>
    </w:p>
    <w:p w:rsidR="00DA0DEB" w:rsidRDefault="00DA0DEB"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DA0DEB" w:rsidRPr="00DA0DEB" w:rsidRDefault="00DA0DEB" w:rsidP="00DA0DEB">
      <w:pPr>
        <w:autoSpaceDE w:val="0"/>
        <w:autoSpaceDN w:val="0"/>
        <w:adjustRightInd w:val="0"/>
        <w:spacing w:line="300" w:lineRule="auto"/>
        <w:ind w:firstLineChars="200" w:firstLine="422"/>
        <w:jc w:val="left"/>
        <w:rPr>
          <w:rFonts w:asciiTheme="minorEastAsia" w:hAnsiTheme="minorEastAsia" w:cs="FZLTHK--GBK1-0"/>
          <w:b/>
          <w:kern w:val="0"/>
          <w:szCs w:val="21"/>
        </w:rPr>
      </w:pPr>
      <w:r w:rsidRPr="00DA0DEB">
        <w:rPr>
          <w:rFonts w:asciiTheme="minorEastAsia" w:hAnsiTheme="minorEastAsia" w:cs="FZLTHK--GBK1-0" w:hint="eastAsia"/>
          <w:b/>
          <w:kern w:val="0"/>
          <w:szCs w:val="21"/>
        </w:rPr>
        <w:t>荣誉</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★获全国拔河新星系列赛总决赛第四名</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★获徐州市总工会“幸福企业”称号</w:t>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2" w:name="_Toc458770057"/>
      <w:r w:rsidRPr="00124A9C">
        <w:rPr>
          <w:rFonts w:ascii="宋体" w:eastAsia="宋体" w:hAnsi="宋体" w:cs="宋体" w:hint="eastAsia"/>
          <w:b/>
          <w:color w:val="0D0D0D"/>
          <w:kern w:val="44"/>
          <w:sz w:val="28"/>
          <w:szCs w:val="28"/>
        </w:rPr>
        <w:t>保障员工权益</w:t>
      </w:r>
      <w:bookmarkEnd w:id="22"/>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公司严格遵守劳动合同法等国家劳动法律法规，保障员工平等就业，尊重人权，保护隐私，为员工提供合理的薪酬福利，建立健全职工代表大会制度，保障员工的民主权利。</w:t>
      </w:r>
    </w:p>
    <w:p w:rsidR="00DA0DEB" w:rsidRDefault="00DA0DEB" w:rsidP="00124A9C">
      <w:pPr>
        <w:autoSpaceDE w:val="0"/>
        <w:autoSpaceDN w:val="0"/>
        <w:adjustRightInd w:val="0"/>
        <w:spacing w:line="300" w:lineRule="auto"/>
        <w:ind w:firstLineChars="200" w:firstLine="420"/>
        <w:jc w:val="left"/>
        <w:rPr>
          <w:rFonts w:asciiTheme="minorEastAsia" w:hAnsiTheme="minorEastAsia" w:cs="FZLTZ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平等雇佣</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公司严格遵守国际行为规范和业务所在国的法律法规，规范劳动用工管理，持续完善用工形式和用工规则，健全用工管理机制。依法与员工签订劳动合同，签订率为</w:t>
      </w:r>
      <w:r w:rsidRPr="00124A9C">
        <w:rPr>
          <w:rFonts w:asciiTheme="minorEastAsia" w:hAnsiTheme="minorEastAsia" w:cs="FZLTHK--GBK1-0"/>
          <w:kern w:val="0"/>
          <w:szCs w:val="21"/>
        </w:rPr>
        <w:t>100%</w:t>
      </w:r>
      <w:r w:rsidRPr="00124A9C">
        <w:rPr>
          <w:rFonts w:asciiTheme="minorEastAsia" w:hAnsiTheme="minorEastAsia" w:cs="FZLTHK--GBK1-0" w:hint="eastAsia"/>
          <w:kern w:val="0"/>
          <w:szCs w:val="21"/>
        </w:rPr>
        <w:t>。</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年，新吸纳就业人数</w:t>
      </w:r>
      <w:r w:rsidRPr="00124A9C">
        <w:rPr>
          <w:rFonts w:asciiTheme="minorEastAsia" w:hAnsiTheme="minorEastAsia" w:cs="FZLTHK--GBK1-0"/>
          <w:kern w:val="0"/>
          <w:szCs w:val="21"/>
        </w:rPr>
        <w:t>123</w:t>
      </w:r>
      <w:r w:rsidRPr="00124A9C">
        <w:rPr>
          <w:rFonts w:asciiTheme="minorEastAsia" w:hAnsiTheme="minorEastAsia" w:cs="FZLTHK--GBK1-0" w:hint="eastAsia"/>
          <w:kern w:val="0"/>
          <w:szCs w:val="21"/>
        </w:rPr>
        <w:t>人。</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drawing>
          <wp:inline distT="0" distB="0" distL="0" distR="0">
            <wp:extent cx="3857143" cy="1752381"/>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857143" cy="1752381"/>
                    </a:xfrm>
                    <a:prstGeom prst="rect">
                      <a:avLst/>
                    </a:prstGeom>
                  </pic:spPr>
                </pic:pic>
              </a:graphicData>
            </a:graphic>
          </wp:inline>
        </w:drawing>
      </w:r>
    </w:p>
    <w:p w:rsidR="00DA0DEB" w:rsidRDefault="00DA0DEB" w:rsidP="00124A9C">
      <w:pPr>
        <w:autoSpaceDE w:val="0"/>
        <w:autoSpaceDN w:val="0"/>
        <w:adjustRightInd w:val="0"/>
        <w:spacing w:line="300" w:lineRule="auto"/>
        <w:ind w:firstLineChars="200" w:firstLine="420"/>
        <w:jc w:val="left"/>
        <w:rPr>
          <w:rFonts w:asciiTheme="minorEastAsia" w:hAnsiTheme="minorEastAsia" w:cs="FZLTZ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薪酬福利</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倡导“追求卓越”的价值理念，实行以市场化为原则，根据岗位价值、个人能力和绩效结果，建立有竞争力的市场化薪酬体系，不断完善多层次、多角度的员工福利体系，激励员工创造价值，使薪酬分配与员工的努力付出和价值创造相匹配，实现企业价值和员工利益的共同提升。</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年，公司社会保障（五险一金）投入达</w:t>
      </w:r>
      <w:r w:rsidRPr="00124A9C">
        <w:rPr>
          <w:rFonts w:asciiTheme="minorEastAsia" w:hAnsiTheme="minorEastAsia" w:cs="FZLTHK--GBK1-0"/>
          <w:kern w:val="0"/>
          <w:szCs w:val="21"/>
        </w:rPr>
        <w:t>1957</w:t>
      </w:r>
      <w:r w:rsidRPr="00124A9C">
        <w:rPr>
          <w:rFonts w:asciiTheme="minorEastAsia" w:hAnsiTheme="minorEastAsia" w:cs="FZLTHK--GBK1-0" w:hint="eastAsia"/>
          <w:kern w:val="0"/>
          <w:szCs w:val="21"/>
        </w:rPr>
        <w:t>万元，覆盖率</w:t>
      </w:r>
      <w:r w:rsidRPr="00124A9C">
        <w:rPr>
          <w:rFonts w:asciiTheme="minorEastAsia" w:hAnsiTheme="minorEastAsia" w:cs="FZLTHK--GBK1-0"/>
          <w:kern w:val="0"/>
          <w:szCs w:val="21"/>
        </w:rPr>
        <w:t>100%</w:t>
      </w:r>
      <w:r w:rsidRPr="00124A9C">
        <w:rPr>
          <w:rFonts w:asciiTheme="minorEastAsia" w:hAnsiTheme="minorEastAsia" w:cs="FZLTHK--GBK1-0" w:hint="eastAsia"/>
          <w:kern w:val="0"/>
          <w:szCs w:val="21"/>
        </w:rPr>
        <w:t>。</w:t>
      </w:r>
    </w:p>
    <w:p w:rsidR="00DA0DEB" w:rsidRDefault="00DA0DEB"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健康管理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公司严格遵循《中华人民共和国职业病防治法》，探索建立职业健康安全管理体系，强</w:t>
      </w:r>
      <w:r w:rsidRPr="00124A9C">
        <w:rPr>
          <w:rFonts w:asciiTheme="minorEastAsia" w:hAnsiTheme="minorEastAsia" w:cs="FZLTHK--GBK1-0" w:hint="eastAsia"/>
          <w:kern w:val="0"/>
          <w:szCs w:val="21"/>
        </w:rPr>
        <w:lastRenderedPageBreak/>
        <w:t>化职业健康安全管理，提高员工职业安全健康水平。</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员工职业健康体检覆盖率</w:t>
      </w:r>
      <w:r w:rsidRPr="00124A9C">
        <w:rPr>
          <w:rFonts w:asciiTheme="minorEastAsia" w:hAnsiTheme="minorEastAsia" w:cs="FZLTHK--GBK1-0"/>
          <w:kern w:val="0"/>
          <w:szCs w:val="21"/>
        </w:rPr>
        <w:t>53.9%</w:t>
      </w:r>
      <w:r w:rsidRPr="00124A9C">
        <w:rPr>
          <w:rFonts w:asciiTheme="minorEastAsia" w:hAnsiTheme="minorEastAsia" w:cs="FZLTHK--GBK1-0" w:hint="eastAsia"/>
          <w:kern w:val="0"/>
          <w:szCs w:val="21"/>
        </w:rPr>
        <w:t>，健康档案覆盖率</w:t>
      </w:r>
      <w:r w:rsidRPr="00124A9C">
        <w:rPr>
          <w:rFonts w:asciiTheme="minorEastAsia" w:hAnsiTheme="minorEastAsia" w:cs="FZLTHK--GBK1-0"/>
          <w:kern w:val="0"/>
          <w:szCs w:val="21"/>
        </w:rPr>
        <w:t>68.1%</w:t>
      </w:r>
      <w:r w:rsidRPr="00124A9C">
        <w:rPr>
          <w:rFonts w:asciiTheme="minorEastAsia" w:hAnsiTheme="minorEastAsia" w:cs="FZLTHK--GBK1-0" w:hint="eastAsia"/>
          <w:kern w:val="0"/>
          <w:szCs w:val="21"/>
        </w:rPr>
        <w:t>。</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■轻伤事件年度发生率小于</w:t>
      </w:r>
      <w:r w:rsidRPr="00124A9C">
        <w:rPr>
          <w:rFonts w:asciiTheme="minorEastAsia" w:hAnsiTheme="minorEastAsia" w:cs="FZLTHK--GBK1-0"/>
          <w:kern w:val="0"/>
          <w:szCs w:val="21"/>
        </w:rPr>
        <w:t>2</w:t>
      </w:r>
      <w:r w:rsidRPr="00124A9C">
        <w:rPr>
          <w:rFonts w:asciiTheme="minorEastAsia" w:hAnsiTheme="minorEastAsia" w:cs="FZLTHK--GBK1-0" w:hint="eastAsia"/>
          <w:kern w:val="0"/>
          <w:szCs w:val="21"/>
        </w:rPr>
        <w:t>‰，员工职业病发生率为零，职业卫生监测合格率为</w:t>
      </w:r>
      <w:r w:rsidRPr="00124A9C">
        <w:rPr>
          <w:rFonts w:asciiTheme="minorEastAsia" w:hAnsiTheme="minorEastAsia" w:cs="FZLTHK--GBK1-0"/>
          <w:kern w:val="0"/>
          <w:szCs w:val="21"/>
        </w:rPr>
        <w:t>100%</w:t>
      </w:r>
      <w:r w:rsidRPr="00124A9C">
        <w:rPr>
          <w:rFonts w:asciiTheme="minorEastAsia" w:hAnsiTheme="minorEastAsia" w:cs="FZLTHK--GBK1-0" w:hint="eastAsia"/>
          <w:kern w:val="0"/>
          <w:szCs w:val="21"/>
        </w:rPr>
        <w:t>。</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■对员工和承包商进行安全生产教育培训，资金投入</w:t>
      </w:r>
      <w:r w:rsidRPr="00124A9C">
        <w:rPr>
          <w:rFonts w:asciiTheme="minorEastAsia" w:hAnsiTheme="minorEastAsia" w:cs="FZLTHK--GBK1-0"/>
          <w:kern w:val="0"/>
          <w:szCs w:val="21"/>
        </w:rPr>
        <w:t>11.6</w:t>
      </w:r>
      <w:r w:rsidRPr="00124A9C">
        <w:rPr>
          <w:rFonts w:asciiTheme="minorEastAsia" w:hAnsiTheme="minorEastAsia" w:cs="FZLTHK--GBK1-0" w:hint="eastAsia"/>
          <w:kern w:val="0"/>
          <w:szCs w:val="21"/>
        </w:rPr>
        <w:t>万元，培训人数</w:t>
      </w:r>
      <w:r w:rsidRPr="00124A9C">
        <w:rPr>
          <w:rFonts w:asciiTheme="minorEastAsia" w:hAnsiTheme="minorEastAsia" w:cs="FZLTHK--GBK1-0"/>
          <w:kern w:val="0"/>
          <w:szCs w:val="21"/>
        </w:rPr>
        <w:t>5000</w:t>
      </w:r>
      <w:r w:rsidRPr="00124A9C">
        <w:rPr>
          <w:rFonts w:asciiTheme="minorEastAsia" w:hAnsiTheme="minorEastAsia" w:cs="FZLTHK--GBK1-0" w:hint="eastAsia"/>
          <w:kern w:val="0"/>
          <w:szCs w:val="21"/>
        </w:rPr>
        <w:t>人次。</w:t>
      </w:r>
    </w:p>
    <w:p w:rsidR="00124A9C" w:rsidRPr="00124A9C" w:rsidRDefault="00124A9C" w:rsidP="00124A9C">
      <w:pPr>
        <w:pStyle w:val="aa"/>
        <w:numPr>
          <w:ilvl w:val="0"/>
          <w:numId w:val="8"/>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成立职业健康安全管理工作领导小组，制定职业健康管理制度，改善生产作业环境，防治职业病</w:t>
      </w:r>
    </w:p>
    <w:p w:rsidR="00124A9C" w:rsidRPr="00124A9C" w:rsidRDefault="00124A9C" w:rsidP="00124A9C">
      <w:pPr>
        <w:pStyle w:val="aa"/>
        <w:numPr>
          <w:ilvl w:val="0"/>
          <w:numId w:val="8"/>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加强员工职业安全教育，提供健康安全用具、设施，开展职业病防治法及职业健康知识培训，提升员工职业健康意识和能力</w:t>
      </w:r>
    </w:p>
    <w:p w:rsidR="00124A9C" w:rsidRPr="00124A9C" w:rsidRDefault="00124A9C" w:rsidP="00124A9C">
      <w:pPr>
        <w:pStyle w:val="aa"/>
        <w:numPr>
          <w:ilvl w:val="0"/>
          <w:numId w:val="8"/>
        </w:numPr>
        <w:autoSpaceDE w:val="0"/>
        <w:autoSpaceDN w:val="0"/>
        <w:adjustRightInd w:val="0"/>
        <w:spacing w:line="300" w:lineRule="auto"/>
        <w:ind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与本地有职业健康体检资质的人民医院签订协议，每年组织接触有害职业病因素作业人员进行体检</w:t>
      </w:r>
    </w:p>
    <w:p w:rsidR="00DA0DEB" w:rsidRDefault="00DA0DEB" w:rsidP="00124A9C">
      <w:pPr>
        <w:autoSpaceDE w:val="0"/>
        <w:autoSpaceDN w:val="0"/>
        <w:adjustRightInd w:val="0"/>
        <w:spacing w:line="300" w:lineRule="auto"/>
        <w:ind w:firstLineChars="200" w:firstLine="420"/>
        <w:jc w:val="left"/>
        <w:rPr>
          <w:rFonts w:asciiTheme="minorEastAsia" w:hAnsiTheme="minorEastAsia" w:cs="FZLTZ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民主管理</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推进和完善职工代表大会制度等企业民主制度体系建设，搭建民主管理体系，组织员工进行民主选举、民主决策，保障员工的知情权、参与权、监督权等。此外，公司以总经理信箱、人力资源部门接待、开展访谈等多种渠道，倾听员工的心声与建议，使员工更好地参与公司运营与管理。</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案例：举办座谈会与员工沟通交流</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通过举行员工座谈会，了解员工工作和生活的情况，知悉员工的期望和要求，帮助员工解决问题。通过与员工的密切交流，公司获悉并解决班车路线、劳保发放等问题，提高员工满意度，使员工安心工作、安心生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3" w:name="_Toc458770058"/>
      <w:r w:rsidRPr="00124A9C">
        <w:rPr>
          <w:rFonts w:ascii="宋体" w:eastAsia="宋体" w:hAnsi="宋体" w:cs="宋体" w:hint="eastAsia"/>
          <w:b/>
          <w:color w:val="0D0D0D"/>
          <w:kern w:val="44"/>
          <w:sz w:val="28"/>
          <w:szCs w:val="28"/>
        </w:rPr>
        <w:t>成就员工价值</w:t>
      </w:r>
      <w:bookmarkEnd w:id="23"/>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员工能力的提升与发展，离不开系统全面的培训。公司围绕企业发展战略，结合员工发展需求，扩大培训规模，创新培训方式，丰富培训内容，面向全员展开分层、分类、分级的各项培训，为公司可持续发展奠定人才基础。</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按照《</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年度培训计划》，优化培训体系，在普及专业知识的基础上，不断开发员工的潜能，扩大员工眼界。公司还开展外部培训，涵盖设备维修、产品科研方法、分析技术、职业素养等六个方面。</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年度组织各类培训共</w:t>
      </w:r>
      <w:r w:rsidRPr="00124A9C">
        <w:rPr>
          <w:rFonts w:asciiTheme="minorEastAsia" w:hAnsiTheme="minorEastAsia" w:cs="FZLTHK--GBK1-0"/>
          <w:kern w:val="0"/>
          <w:szCs w:val="21"/>
        </w:rPr>
        <w:t>152</w:t>
      </w:r>
      <w:r w:rsidRPr="00124A9C">
        <w:rPr>
          <w:rFonts w:asciiTheme="minorEastAsia" w:hAnsiTheme="minorEastAsia" w:cs="FZLTHK--GBK1-0" w:hint="eastAsia"/>
          <w:kern w:val="0"/>
          <w:szCs w:val="21"/>
        </w:rPr>
        <w:t>次，参与培训人数达</w:t>
      </w:r>
      <w:r w:rsidRPr="00124A9C">
        <w:rPr>
          <w:rFonts w:asciiTheme="minorEastAsia" w:hAnsiTheme="minorEastAsia" w:cs="FZLTHK--GBK1-0"/>
          <w:kern w:val="0"/>
          <w:szCs w:val="21"/>
        </w:rPr>
        <w:t>1100</w:t>
      </w:r>
      <w:r w:rsidRPr="00124A9C">
        <w:rPr>
          <w:rFonts w:asciiTheme="minorEastAsia" w:hAnsiTheme="minorEastAsia" w:cs="FZLTHK--GBK1-0" w:hint="eastAsia"/>
          <w:kern w:val="0"/>
          <w:szCs w:val="21"/>
        </w:rPr>
        <w:t>余人，投入资金</w:t>
      </w:r>
      <w:r w:rsidRPr="00124A9C">
        <w:rPr>
          <w:rFonts w:asciiTheme="minorEastAsia" w:hAnsiTheme="minorEastAsia" w:cs="FZLTHK--GBK1-0"/>
          <w:kern w:val="0"/>
          <w:szCs w:val="21"/>
        </w:rPr>
        <w:t>50.1</w:t>
      </w:r>
      <w:r w:rsidRPr="00124A9C">
        <w:rPr>
          <w:rFonts w:asciiTheme="minorEastAsia" w:hAnsiTheme="minorEastAsia" w:cs="FZLTHK--GBK1-0" w:hint="eastAsia"/>
          <w:kern w:val="0"/>
          <w:szCs w:val="21"/>
        </w:rPr>
        <w:t>万元，提高了员工各方面的素养。公司学习先进企业的人才发展模式，以创新的平台和机制不断拓展员工职业发展空间，建立人才库，促进员工职业发展，实现员工价值最大化。</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案例：商务礼仪培训</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为改善员工职场形象，公司人力资源部组织商务礼仪培训，来自董事会办公室、总经办等</w:t>
      </w:r>
      <w:r w:rsidRPr="00124A9C">
        <w:rPr>
          <w:rFonts w:asciiTheme="minorEastAsia" w:hAnsiTheme="minorEastAsia" w:cs="FZLTHK--GBK1-0"/>
          <w:kern w:val="0"/>
          <w:szCs w:val="21"/>
        </w:rPr>
        <w:t>100</w:t>
      </w:r>
      <w:r w:rsidRPr="00124A9C">
        <w:rPr>
          <w:rFonts w:asciiTheme="minorEastAsia" w:hAnsiTheme="minorEastAsia" w:cs="FZLTHK--GBK1-0" w:hint="eastAsia"/>
          <w:kern w:val="0"/>
          <w:szCs w:val="21"/>
        </w:rPr>
        <w:t>名干部员工参加培训。此次培训内容包括礼仪初探、服装形象仪表、商务礼仪及礼仪禁忌等方面。通过案例讲解、实景展示等方式，有效提升员工的职业素养。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案例：电器仪表技能培训</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为提升员工理论知识水平，公司技术中心及人力资源部联合举办电器仪表技能知识培训，生产部仪表操作人员、设备管理人员及电工操作人员等</w:t>
      </w:r>
      <w:r w:rsidRPr="00124A9C">
        <w:rPr>
          <w:rFonts w:asciiTheme="minorEastAsia" w:hAnsiTheme="minorEastAsia" w:cs="FZLTHK--GBK1-0"/>
          <w:kern w:val="0"/>
          <w:szCs w:val="21"/>
        </w:rPr>
        <w:t>100</w:t>
      </w:r>
      <w:r w:rsidRPr="00124A9C">
        <w:rPr>
          <w:rFonts w:asciiTheme="minorEastAsia" w:hAnsiTheme="minorEastAsia" w:cs="FZLTHK--GBK1-0" w:hint="eastAsia"/>
          <w:kern w:val="0"/>
          <w:szCs w:val="21"/>
        </w:rPr>
        <w:t>余人参加培训。参训人员就各自岗位涉及问题进行广泛交流与探讨，为生产提供了技术支持及保证。</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案例：办公软件培训</w:t>
      </w:r>
    </w:p>
    <w:p w:rsidR="00124A9C" w:rsidRPr="00124A9C" w:rsidRDefault="00124A9C" w:rsidP="00124A9C">
      <w:pPr>
        <w:pBdr>
          <w:top w:val="single" w:sz="4" w:space="1" w:color="auto"/>
          <w:left w:val="single" w:sz="4" w:space="4" w:color="auto"/>
          <w:bottom w:val="single" w:sz="4" w:space="1" w:color="auto"/>
          <w:right w:val="single" w:sz="4" w:space="4" w:color="auto"/>
        </w:pBd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为提升办公效率及推进绿色办公，上线办公自动化系统，开展办公软件培训活动。公司所有机关人员、宣传部、生产部办公室等相关人员参加培训。公司还开展“云之家”智能化办公系统培训等相关办公系统与软件的培训，使员工更加熟悉互联网时代的办公环境，为高效办公奠定基础。</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4" w:name="_Toc458770059"/>
      <w:r w:rsidRPr="00124A9C">
        <w:rPr>
          <w:rFonts w:ascii="宋体" w:eastAsia="宋体" w:hAnsi="宋体" w:cs="宋体" w:hint="eastAsia"/>
          <w:b/>
          <w:color w:val="0D0D0D"/>
          <w:kern w:val="44"/>
          <w:sz w:val="28"/>
          <w:szCs w:val="28"/>
        </w:rPr>
        <w:t>提升员工归属感</w:t>
      </w:r>
      <w:bookmarkEnd w:id="24"/>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公司高度重视企业文化建设，注重人文关怀，改善员工工作、生活条件，在节假日发放福利用品和纪念品，积极开展文体娱乐活动，丰富员工业余生活，帮扶困难员工，关爱离退休员工，增强员工归属感。</w:t>
      </w:r>
    </w:p>
    <w:p w:rsidR="00DA0DEB" w:rsidRDefault="00DA0DEB" w:rsidP="00124A9C">
      <w:pPr>
        <w:autoSpaceDE w:val="0"/>
        <w:autoSpaceDN w:val="0"/>
        <w:adjustRightInd w:val="0"/>
        <w:spacing w:line="300" w:lineRule="auto"/>
        <w:ind w:firstLineChars="200" w:firstLine="420"/>
        <w:jc w:val="left"/>
        <w:rPr>
          <w:rFonts w:asciiTheme="minorEastAsia" w:hAnsiTheme="minorEastAsia" w:cs="FZLTZHK--GBK1-0"/>
          <w:kern w:val="0"/>
          <w:szCs w:val="21"/>
        </w:rPr>
      </w:pP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丰富员工生活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公司积极营造和谐、健康、向上、兼容并蓄的企业文化，通过丰富多彩的论坛、茶话会、评选等活动，增强员工对企业文化的理解和认同感。</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关爱员工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我们开展主题丰富的员工活动，通过发放节日贴心礼物、节假日慰问困难员工等形式多样的活动，传递员工关怀。</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关注一线员工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努力改善一线员工的工作环境。关心员工的身体健康情况，开展走访慰问等活动。每年大年三十，公司领导都来到一线，为生产车间的员工送去祝福；开展“冬送温暖、夏送清凉”等活动，在为员工提供物质基础的同时，也提供精神关怀。</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关注女性员工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注重营造平等、尊重的组织氛围，持续关心女性员工，加强女性员工权益保障，增强女性员工对公司的归属感和认同感。开展三八节、母亲节等系列活动，发放礼品，组织女员工代表座谈会，了解员工所想、所感、所需；开展女性身心疾病的预防及保健方面的知识讲座等。</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关注困难群体</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重视对困难员工家庭的帮扶救助，形成公司拨款和员工自愿捐助相结合、覆盖各个困难</w:t>
      </w:r>
      <w:r w:rsidRPr="00124A9C">
        <w:rPr>
          <w:rFonts w:asciiTheme="minorEastAsia" w:hAnsiTheme="minorEastAsia" w:cs="FZLTHK--GBK1-0" w:hint="eastAsia"/>
          <w:kern w:val="0"/>
          <w:szCs w:val="21"/>
        </w:rPr>
        <w:lastRenderedPageBreak/>
        <w:t>群体的扶贫帮困工作长效机制和责任机制。走访和了解困难员工情况，及时为员工排忧解难，开展双节送温暖活动，为困难员工送去慰问金，帮助有困难的员工家庭渡过难关。</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关注海外员工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重视海外员工的权益保障和身心健康，制定海外机构员工回国探亲带薪休假制度。建立领导走访谈心制度，畅通海外劳务人员沟通渠道，及时了解员工生活工作困难，努力满足员工诉求。提供语言文化培训和专业技能培训，增进不同国籍劳务人员的互信交流，增强员工间的凝聚力和战斗力。</w:t>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5" w:name="_Toc458770060"/>
      <w:r w:rsidRPr="00124A9C">
        <w:rPr>
          <w:rFonts w:ascii="宋体" w:eastAsia="宋体" w:hAnsi="宋体" w:cs="宋体" w:hint="eastAsia"/>
          <w:b/>
          <w:color w:val="0D0D0D"/>
          <w:kern w:val="44"/>
          <w:sz w:val="28"/>
          <w:szCs w:val="28"/>
        </w:rPr>
        <w:t>热心公益事业</w:t>
      </w:r>
      <w:bookmarkEnd w:id="25"/>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公司不断完善社区公益事业的开展机制，规范对外捐赠行为，引导青年志愿者参与社区共建、环保公益、爱心助学等活动，回馈社会</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助力和谐社会建设。</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志愿者活动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员工志愿者活动是公司为培育员工的志愿精神和能力所进行的长期项目。公司努力推动志愿者活动体系化、制度化、常规化。</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年，员工参与志愿者活动达</w:t>
      </w:r>
      <w:r w:rsidRPr="00124A9C">
        <w:rPr>
          <w:rFonts w:asciiTheme="minorEastAsia" w:hAnsiTheme="minorEastAsia" w:cs="FZLTHK--GBK1-0"/>
          <w:kern w:val="0"/>
          <w:szCs w:val="21"/>
        </w:rPr>
        <w:t>451</w:t>
      </w:r>
      <w:r w:rsidRPr="00124A9C">
        <w:rPr>
          <w:rFonts w:asciiTheme="minorEastAsia" w:hAnsiTheme="minorEastAsia" w:cs="FZLTHK--GBK1-0" w:hint="eastAsia"/>
          <w:kern w:val="0"/>
          <w:szCs w:val="21"/>
        </w:rPr>
        <w:t>余人次。</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基金会建设</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公司整合各类资源，以公开透明为原则，以丰富的形式和渠道为依托，广泛开展捐资捐物活动，促进公益事业发展。</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■成立捐资互助基金会，资金来源于公司董事长及中高层干部的捐赠。</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■每年捐赠</w:t>
      </w:r>
      <w:r w:rsidRPr="00124A9C">
        <w:rPr>
          <w:rFonts w:asciiTheme="minorEastAsia" w:hAnsiTheme="minorEastAsia" w:cs="FZLTHK--GBK1-0"/>
          <w:kern w:val="0"/>
          <w:szCs w:val="21"/>
        </w:rPr>
        <w:t>50</w:t>
      </w:r>
      <w:r w:rsidRPr="00124A9C">
        <w:rPr>
          <w:rFonts w:asciiTheme="minorEastAsia" w:hAnsiTheme="minorEastAsia" w:cs="FZLTHK--GBK1-0" w:hint="eastAsia"/>
          <w:kern w:val="0"/>
          <w:szCs w:val="21"/>
        </w:rPr>
        <w:t>万元设立利民名优教师基金，对新沂市名优教师进行表彰。</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■举行“金秋奖学”活动，每年对驻地村民及厂内员工子女进行学业资助。</w:t>
      </w:r>
    </w:p>
    <w:p w:rsidR="00DA0DEB"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■每年向新沂市慈善总会捐赠</w:t>
      </w:r>
      <w:r w:rsidRPr="00124A9C">
        <w:rPr>
          <w:rFonts w:asciiTheme="minorEastAsia" w:hAnsiTheme="minorEastAsia" w:cs="FZLTHK--GBK1-0"/>
          <w:kern w:val="0"/>
          <w:szCs w:val="21"/>
        </w:rPr>
        <w:t>50</w:t>
      </w:r>
      <w:r w:rsidRPr="00124A9C">
        <w:rPr>
          <w:rFonts w:asciiTheme="minorEastAsia" w:hAnsiTheme="minorEastAsia" w:cs="FZLTHK--GBK1-0" w:hint="eastAsia"/>
          <w:kern w:val="0"/>
          <w:szCs w:val="21"/>
        </w:rPr>
        <w:t>万元。</w:t>
      </w:r>
    </w:p>
    <w:p w:rsidR="00DA0DEB" w:rsidRDefault="00DA0DEB">
      <w:pPr>
        <w:widowControl/>
        <w:jc w:val="left"/>
        <w:rPr>
          <w:rFonts w:asciiTheme="minorEastAsia" w:hAnsiTheme="minorEastAsia" w:cs="FZLTHK--GBK1-0"/>
          <w:kern w:val="0"/>
          <w:szCs w:val="21"/>
        </w:rPr>
      </w:pPr>
      <w:r>
        <w:rPr>
          <w:rFonts w:asciiTheme="minorEastAsia" w:hAnsiTheme="minorEastAsia" w:cs="FZLTHK--GBK1-0"/>
          <w:kern w:val="0"/>
          <w:szCs w:val="21"/>
        </w:rPr>
        <w:br w:type="page"/>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26" w:name="_Toc458770061"/>
      <w:r w:rsidRPr="00124A9C">
        <w:rPr>
          <w:rFonts w:asciiTheme="minorEastAsia" w:hAnsiTheme="minorEastAsia" w:cs="Times New Roman" w:hint="eastAsia"/>
          <w:b/>
          <w:kern w:val="44"/>
          <w:sz w:val="32"/>
          <w:szCs w:val="32"/>
        </w:rPr>
        <w:t>责任管理</w:t>
      </w:r>
      <w:bookmarkEnd w:id="26"/>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7" w:name="_Toc458770062"/>
      <w:r w:rsidRPr="00124A9C">
        <w:rPr>
          <w:rFonts w:ascii="宋体" w:eastAsia="宋体" w:hAnsi="宋体" w:cs="宋体" w:hint="eastAsia"/>
          <w:b/>
          <w:color w:val="0D0D0D"/>
          <w:kern w:val="44"/>
          <w:sz w:val="28"/>
          <w:szCs w:val="28"/>
        </w:rPr>
        <w:t>社会责任组织体系</w:t>
      </w:r>
      <w:bookmarkEnd w:id="27"/>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公司成立由企业高管和部门负责人组成的社会责任委员会，负责统筹规划公司整体社会责任工作，初步建立社会责任工作体系。</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社会责任委员会是公司推进可持续发展的重要组织保障。社会责任委员会下设社会责任工作办公室，主要负责制定社会责任工作规划、管理制度，组织实施社会责任实践，对外开展社会责任交流，编制发布社会责任报告等。</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drawing>
          <wp:inline distT="0" distB="0" distL="0" distR="0">
            <wp:extent cx="4257143" cy="220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257143" cy="2200000"/>
                    </a:xfrm>
                    <a:prstGeom prst="rect">
                      <a:avLst/>
                    </a:prstGeom>
                  </pic:spPr>
                </pic:pic>
              </a:graphicData>
            </a:graphic>
          </wp:inline>
        </w:drawing>
      </w: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8" w:name="_Toc458770063"/>
      <w:r w:rsidRPr="00124A9C">
        <w:rPr>
          <w:rFonts w:ascii="宋体" w:eastAsia="宋体" w:hAnsi="宋体" w:cs="宋体" w:hint="eastAsia"/>
          <w:b/>
          <w:color w:val="0D0D0D"/>
          <w:kern w:val="44"/>
          <w:sz w:val="28"/>
          <w:szCs w:val="28"/>
        </w:rPr>
        <w:t>社会责任议题管理</w:t>
      </w:r>
      <w:bookmarkEnd w:id="28"/>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议题识别</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对公司外部环境、自身战略及可持续发展能力进行分析评估，识别利益相关方期望和诉求，整理相关的社会责任议题。从“对利益相关方的重要性”和“对利民股份的重要性”两个维度对议题进行排序，确认各个领域关键议题。</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议题实施</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根据识别出的实质性议题，制定社会责任实施策略，同时将社会责任议题细化为可操作的具体目标，逐步推进实施。</w:t>
      </w:r>
    </w:p>
    <w:p w:rsidR="00124A9C" w:rsidRPr="00DA0DEB" w:rsidRDefault="00124A9C" w:rsidP="00DA0DEB">
      <w:pPr>
        <w:autoSpaceDE w:val="0"/>
        <w:autoSpaceDN w:val="0"/>
        <w:adjustRightInd w:val="0"/>
        <w:spacing w:line="300" w:lineRule="auto"/>
        <w:ind w:firstLineChars="200" w:firstLine="422"/>
        <w:jc w:val="left"/>
        <w:rPr>
          <w:rFonts w:asciiTheme="minorEastAsia" w:hAnsiTheme="minorEastAsia" w:cs="FZLTZHK--GBK1-0"/>
          <w:b/>
          <w:kern w:val="0"/>
          <w:szCs w:val="21"/>
        </w:rPr>
      </w:pPr>
      <w:r w:rsidRPr="00DA0DEB">
        <w:rPr>
          <w:rFonts w:asciiTheme="minorEastAsia" w:hAnsiTheme="minorEastAsia" w:cs="FZLTZHK--GBK1-0" w:hint="eastAsia"/>
          <w:b/>
          <w:kern w:val="0"/>
          <w:szCs w:val="21"/>
        </w:rPr>
        <w:t>议题评估</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将社会责任议题实施情况量化为不同的等级，根据评估的结果进行改进。</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szCs w:val="21"/>
        </w:rPr>
      </w:pPr>
      <w:r w:rsidRPr="00124A9C">
        <w:rPr>
          <w:rFonts w:asciiTheme="minorEastAsia" w:hAnsiTheme="minorEastAsia"/>
          <w:noProof/>
          <w:szCs w:val="21"/>
        </w:rPr>
        <w:lastRenderedPageBreak/>
        <w:drawing>
          <wp:inline distT="0" distB="0" distL="0" distR="0">
            <wp:extent cx="5274310" cy="2339975"/>
            <wp:effectExtent l="0" t="0" r="254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5274310" cy="2339975"/>
                    </a:xfrm>
                    <a:prstGeom prst="rect">
                      <a:avLst/>
                    </a:prstGeom>
                  </pic:spPr>
                </pic:pic>
              </a:graphicData>
            </a:graphic>
          </wp:inline>
        </w:drawing>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ZHK--GBK1-0"/>
          <w:kern w:val="0"/>
          <w:szCs w:val="21"/>
        </w:rPr>
      </w:pPr>
    </w:p>
    <w:p w:rsidR="00124A9C" w:rsidRPr="00124A9C" w:rsidRDefault="00124A9C" w:rsidP="001557A9">
      <w:pPr>
        <w:keepNext/>
        <w:keepLines/>
        <w:numPr>
          <w:ilvl w:val="1"/>
          <w:numId w:val="2"/>
        </w:numPr>
        <w:adjustRightInd w:val="0"/>
        <w:spacing w:beforeLines="50" w:afterLines="50" w:line="360" w:lineRule="auto"/>
        <w:outlineLvl w:val="1"/>
        <w:rPr>
          <w:rFonts w:ascii="宋体" w:eastAsia="宋体" w:hAnsi="宋体" w:cs="宋体"/>
          <w:b/>
          <w:color w:val="0D0D0D"/>
          <w:kern w:val="44"/>
          <w:sz w:val="28"/>
          <w:szCs w:val="28"/>
        </w:rPr>
      </w:pPr>
      <w:bookmarkStart w:id="29" w:name="_Toc458770064"/>
      <w:r w:rsidRPr="00124A9C">
        <w:rPr>
          <w:rFonts w:ascii="宋体" w:eastAsia="宋体" w:hAnsi="宋体" w:cs="宋体" w:hint="eastAsia"/>
          <w:b/>
          <w:color w:val="0D0D0D"/>
          <w:kern w:val="44"/>
          <w:sz w:val="28"/>
          <w:szCs w:val="28"/>
        </w:rPr>
        <w:t>利益相关方沟通</w:t>
      </w:r>
      <w:bookmarkEnd w:id="29"/>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公司从运营实际出发，主动识别利益相关方，创新利益相关方沟通和互动模式，了解和回应利益相关方的期望和诉求，不断提高社会责任工作绩效，实现与利益相关方的共同发展。</w:t>
      </w:r>
    </w:p>
    <w:tbl>
      <w:tblPr>
        <w:tblStyle w:val="ab"/>
        <w:tblW w:w="8158" w:type="dxa"/>
        <w:tblBorders>
          <w:left w:val="none" w:sz="0" w:space="0" w:color="auto"/>
          <w:right w:val="none" w:sz="0" w:space="0" w:color="auto"/>
          <w:insideV w:val="none" w:sz="0" w:space="0" w:color="auto"/>
        </w:tblBorders>
        <w:tblLook w:val="04A0"/>
      </w:tblPr>
      <w:tblGrid>
        <w:gridCol w:w="2041"/>
        <w:gridCol w:w="2804"/>
        <w:gridCol w:w="3313"/>
      </w:tblGrid>
      <w:tr w:rsidR="00124A9C" w:rsidRPr="00124A9C" w:rsidTr="00F65398">
        <w:trPr>
          <w:trHeight w:val="314"/>
        </w:trPr>
        <w:tc>
          <w:tcPr>
            <w:tcW w:w="0" w:type="auto"/>
            <w:shd w:val="clear" w:color="auto" w:fill="4F81BD" w:themeFill="accent1"/>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利益相关方</w:t>
            </w:r>
          </w:p>
        </w:tc>
        <w:tc>
          <w:tcPr>
            <w:tcW w:w="0" w:type="auto"/>
            <w:shd w:val="clear" w:color="auto" w:fill="4F81BD" w:themeFill="accent1"/>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期望</w:t>
            </w:r>
          </w:p>
        </w:tc>
        <w:tc>
          <w:tcPr>
            <w:tcW w:w="0" w:type="auto"/>
            <w:shd w:val="clear" w:color="auto" w:fill="4F81BD" w:themeFill="accent1"/>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沟通</w:t>
            </w:r>
            <w:r w:rsidRPr="00124A9C">
              <w:rPr>
                <w:rFonts w:asciiTheme="minorEastAsia" w:hAnsiTheme="minorEastAsia" w:cs="FZLTHK--GBK1-0"/>
                <w:kern w:val="0"/>
                <w:szCs w:val="21"/>
              </w:rPr>
              <w:t>与回应渠道</w:t>
            </w:r>
          </w:p>
        </w:tc>
      </w:tr>
      <w:tr w:rsidR="00124A9C" w:rsidRPr="00124A9C" w:rsidTr="00F65398">
        <w:trPr>
          <w:trHeight w:val="1267"/>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股东与投资者</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资产保值增值</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防范经营风险</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开拓新市场与新机会</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企业年报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公告路演</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深交所投资者关系互动平台</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电话与现场接待</w:t>
            </w:r>
          </w:p>
        </w:tc>
      </w:tr>
      <w:tr w:rsidR="00124A9C" w:rsidRPr="00124A9C" w:rsidTr="00F65398">
        <w:trPr>
          <w:trHeight w:val="953"/>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政府与监管机构</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合法运营</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依法纳税</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贡献地方经济发展</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监管考核</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主动纳税</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专项会议</w:t>
            </w:r>
          </w:p>
        </w:tc>
      </w:tr>
      <w:tr w:rsidR="00124A9C" w:rsidRPr="00124A9C" w:rsidTr="00F65398">
        <w:trPr>
          <w:trHeight w:val="943"/>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行业</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技术创新</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行业科普</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产业振兴</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业内展会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科普行动</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专项会议</w:t>
            </w:r>
          </w:p>
        </w:tc>
      </w:tr>
      <w:tr w:rsidR="00124A9C" w:rsidRPr="00124A9C" w:rsidTr="00F65398">
        <w:trPr>
          <w:trHeight w:val="1267"/>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客户</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优质的产品</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良好的售后服务</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展销会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定期走访</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日常联络</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客户会议</w:t>
            </w:r>
          </w:p>
        </w:tc>
      </w:tr>
      <w:tr w:rsidR="00124A9C" w:rsidRPr="00124A9C" w:rsidTr="00F65398">
        <w:trPr>
          <w:trHeight w:val="1267"/>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供应商</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公开、公平、公正采购</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诚实守信</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现场考察</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定期走访</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招标会议</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合同谈判</w:t>
            </w:r>
          </w:p>
        </w:tc>
      </w:tr>
      <w:tr w:rsidR="00124A9C" w:rsidRPr="00124A9C" w:rsidTr="00F65398">
        <w:trPr>
          <w:trHeight w:val="628"/>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lastRenderedPageBreak/>
              <w:t>环境</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环境保护</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节能减排</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在线监测网站</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监督机构考察</w:t>
            </w:r>
          </w:p>
        </w:tc>
      </w:tr>
      <w:tr w:rsidR="00124A9C" w:rsidRPr="00124A9C" w:rsidTr="00F65398">
        <w:trPr>
          <w:trHeight w:val="1582"/>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员工</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薪酬福利</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职业健康</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搭建成长平台</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工作与生活平衡</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总经理信箱</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员工走访</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人力资源部门接待</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座谈会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员工培训</w:t>
            </w:r>
          </w:p>
        </w:tc>
      </w:tr>
      <w:tr w:rsidR="00124A9C" w:rsidRPr="00124A9C" w:rsidTr="00F65398">
        <w:trPr>
          <w:trHeight w:val="953"/>
        </w:trPr>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社区</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促进就业</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促进当地经济发展</w:t>
            </w:r>
          </w:p>
        </w:tc>
        <w:tc>
          <w:tcPr>
            <w:tcW w:w="0" w:type="auto"/>
          </w:tcPr>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企业官网</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公众微信</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公众参观</w:t>
            </w:r>
          </w:p>
        </w:tc>
      </w:tr>
    </w:tbl>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30" w:name="_Toc458770065"/>
      <w:r w:rsidRPr="00124A9C">
        <w:rPr>
          <w:rFonts w:asciiTheme="minorEastAsia" w:hAnsiTheme="minorEastAsia" w:cs="Times New Roman" w:hint="eastAsia"/>
          <w:b/>
          <w:kern w:val="44"/>
          <w:sz w:val="32"/>
          <w:szCs w:val="32"/>
        </w:rPr>
        <w:t>展望</w:t>
      </w:r>
      <w:r w:rsidRPr="00124A9C">
        <w:rPr>
          <w:rFonts w:asciiTheme="minorEastAsia" w:hAnsiTheme="minorEastAsia" w:cs="Times New Roman"/>
          <w:b/>
          <w:kern w:val="44"/>
          <w:sz w:val="32"/>
          <w:szCs w:val="32"/>
        </w:rPr>
        <w:t>2016</w:t>
      </w:r>
      <w:bookmarkEnd w:id="30"/>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面向</w:t>
      </w:r>
      <w:r w:rsidRPr="00124A9C">
        <w:rPr>
          <w:rFonts w:asciiTheme="minorEastAsia" w:hAnsiTheme="minorEastAsia" w:cs="FZLTHK--GBK1-0"/>
          <w:kern w:val="0"/>
          <w:szCs w:val="21"/>
        </w:rPr>
        <w:t>2016</w:t>
      </w:r>
      <w:r w:rsidRPr="00124A9C">
        <w:rPr>
          <w:rFonts w:asciiTheme="minorEastAsia" w:hAnsiTheme="minorEastAsia" w:cs="FZLTHK--GBK1-0" w:hint="eastAsia"/>
          <w:kern w:val="0"/>
          <w:szCs w:val="21"/>
        </w:rPr>
        <w:t>年，公司将继续为股东、客户、供应商、员工、环境及整个社会做出更加持久的贡献，义不容辞地承担企业公民的义务，并将企业社会责任与公司战略相结合，以更加透明、开放的态度，推动利民股份和社会的可持续发展。</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公司将紧密围绕企业经营宗旨，整合各方优势资源，持续推进公司各项管理与实践：从加强科技创新平台、队伍建设，强化科技管理能力等方面全面提高科技创新能力，树立行业典范；与各方伙伴协同合作，分享可持续发展最佳实践，为产业链的可持续发展带来贡献和价值，与合作伙伴实现共成长、齐发展，保护投资者权益，畅通中小投资者沟通渠道；创新人才选用和激励机制，着力加强人才队伍培养与建设，关注员工感受，营造开放包容、凝聚传承的人才发展氛围，切实关爱员工，促进员工价值与公司价值共同提升；不断整合资源，以公开透明为原则，以丰富的形式和渠道为依托，结合行业特点和自身优势，广泛开展公益活动，助力社区和谐发展。</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未来，公司将积极履行企业公民责任，不断提升行业地位，为自身以及股东等利益相关方的发展赢取更大的空间，树立可信赖、勇担当、负责任的企业形象。</w:t>
      </w: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31" w:name="_Toc458770066"/>
      <w:r w:rsidRPr="00124A9C">
        <w:rPr>
          <w:rFonts w:asciiTheme="minorEastAsia" w:hAnsiTheme="minorEastAsia" w:cs="Times New Roman" w:hint="eastAsia"/>
          <w:b/>
          <w:kern w:val="44"/>
          <w:sz w:val="32"/>
          <w:szCs w:val="32"/>
        </w:rPr>
        <w:t>专家点评</w:t>
      </w:r>
      <w:bookmarkEnd w:id="31"/>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我阅读了《利民化工股份有限公司</w:t>
      </w:r>
      <w:r w:rsidRPr="00124A9C">
        <w:rPr>
          <w:rFonts w:asciiTheme="minorEastAsia" w:hAnsiTheme="minorEastAsia" w:cs="FZLTHK--GBK1-0"/>
          <w:kern w:val="0"/>
          <w:szCs w:val="21"/>
        </w:rPr>
        <w:t>2015</w:t>
      </w:r>
      <w:r w:rsidRPr="00124A9C">
        <w:rPr>
          <w:rFonts w:asciiTheme="minorEastAsia" w:hAnsiTheme="minorEastAsia" w:cs="FZLTHK--GBK1-0" w:hint="eastAsia"/>
          <w:kern w:val="0"/>
          <w:szCs w:val="21"/>
        </w:rPr>
        <w:t>年社会责任报告》，这是利民股份发布的第一份社会责任报告。利民股份是中国农药行业的领先企业，从报告中，我感受到利民股份“所求之利回报于民”的企业价值观真实落地到企业运营的方方面面。报告以丰富翔实的内容向利益相关方呈现了利民股份的责任履行状况，体现了一家上市企业的承诺担当和可持续发展实力。</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ZHK--GBK1-0" w:hint="eastAsia"/>
          <w:kern w:val="0"/>
          <w:szCs w:val="21"/>
        </w:rPr>
        <w:t>系统全面而不失特色。</w:t>
      </w:r>
      <w:r w:rsidRPr="00124A9C">
        <w:rPr>
          <w:rFonts w:asciiTheme="minorEastAsia" w:hAnsiTheme="minorEastAsia" w:cs="FZLTHK--GBK1-0" w:hint="eastAsia"/>
          <w:kern w:val="0"/>
          <w:szCs w:val="21"/>
        </w:rPr>
        <w:t>报告从价值创造、安全绿色发展、伙伴共赢和社区和谐四个模块全面披露了利民股份履行社会责任的理念、措施和成效，重点突出了公司在产品品质、安全生产和环保领域的技术优势和毫不动摇的履责态度。公司不断完善质量控制体系，回应客户</w:t>
      </w:r>
      <w:r w:rsidRPr="00124A9C">
        <w:rPr>
          <w:rFonts w:asciiTheme="minorEastAsia" w:hAnsiTheme="minorEastAsia" w:cs="FZLTHK--GBK1-0" w:hint="eastAsia"/>
          <w:kern w:val="0"/>
          <w:szCs w:val="21"/>
        </w:rPr>
        <w:lastRenderedPageBreak/>
        <w:t>的期望和诉求；采用智能化管理系统与设备，提升安全绩效；推进“零排放”管理，打造花园式工厂，实现人与自然和谐相处。</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ZHK--GBK1-0" w:hint="eastAsia"/>
          <w:kern w:val="0"/>
          <w:szCs w:val="21"/>
        </w:rPr>
        <w:t>回应利益相关方关注重点。</w:t>
      </w:r>
      <w:r w:rsidRPr="00124A9C">
        <w:rPr>
          <w:rFonts w:asciiTheme="minorEastAsia" w:hAnsiTheme="minorEastAsia" w:cs="FZLTHK--GBK1-0" w:hint="eastAsia"/>
          <w:kern w:val="0"/>
          <w:szCs w:val="21"/>
        </w:rPr>
        <w:t>报告展示了利民股份积极应对农药市场的机遇和挑战、适应现代化农业集约化经营和农业互联网模式变革的方法与成果。文字详略得当、层次清晰分明、数据真实有效，有针对性地体现了行业热点，回应了利益相关方对产品品质和环境影响疑虑。与此同时向全社会展示了公司关心弱势群体、积极参与爱心捐赠等社区公益事业，引导青年志愿者参与社区共建、环保公益、爱心助学等活动的履责进程。</w:t>
      </w:r>
    </w:p>
    <w:p w:rsidR="00124A9C" w:rsidRPr="00124A9C" w:rsidRDefault="00124A9C" w:rsidP="00124A9C">
      <w:pPr>
        <w:autoSpaceDE w:val="0"/>
        <w:autoSpaceDN w:val="0"/>
        <w:adjustRightInd w:val="0"/>
        <w:spacing w:line="300" w:lineRule="auto"/>
        <w:ind w:firstLineChars="200" w:firstLine="420"/>
        <w:jc w:val="left"/>
        <w:rPr>
          <w:rFonts w:asciiTheme="minorEastAsia" w:hAnsiTheme="minorEastAsia" w:cs="FZLTHK--GBK1-0"/>
          <w:kern w:val="0"/>
          <w:szCs w:val="21"/>
        </w:rPr>
      </w:pPr>
      <w:r w:rsidRPr="00124A9C">
        <w:rPr>
          <w:rFonts w:asciiTheme="minorEastAsia" w:hAnsiTheme="minorEastAsia" w:cs="FZLTHK--GBK1-0" w:hint="eastAsia"/>
          <w:kern w:val="0"/>
          <w:szCs w:val="21"/>
        </w:rPr>
        <w:t>期待利民化工股份有限公司在新的一年继续推进企业社会责任建设，提升责任管理能力，完善社会责任工作体系，为公司的可持续发展贡献更大的力量。</w:t>
      </w:r>
    </w:p>
    <w:p w:rsidR="00124A9C" w:rsidRPr="00124A9C" w:rsidRDefault="00124A9C" w:rsidP="00124A9C">
      <w:pPr>
        <w:autoSpaceDE w:val="0"/>
        <w:autoSpaceDN w:val="0"/>
        <w:adjustRightInd w:val="0"/>
        <w:spacing w:line="300" w:lineRule="auto"/>
        <w:ind w:firstLineChars="200" w:firstLine="420"/>
        <w:jc w:val="right"/>
        <w:rPr>
          <w:rFonts w:asciiTheme="minorEastAsia" w:hAnsiTheme="minorEastAsia" w:cs="FZLTHK--GBK1-0"/>
          <w:kern w:val="0"/>
          <w:szCs w:val="21"/>
        </w:rPr>
      </w:pPr>
      <w:r w:rsidRPr="00124A9C">
        <w:rPr>
          <w:rFonts w:asciiTheme="minorEastAsia" w:hAnsiTheme="minorEastAsia" w:cs="FZLTHK--GBK1-0" w:hint="eastAsia"/>
          <w:kern w:val="0"/>
          <w:szCs w:val="21"/>
        </w:rPr>
        <w:t>于志宏</w:t>
      </w:r>
    </w:p>
    <w:p w:rsidR="00124A9C" w:rsidRPr="00124A9C" w:rsidRDefault="00124A9C" w:rsidP="00124A9C">
      <w:pPr>
        <w:autoSpaceDE w:val="0"/>
        <w:autoSpaceDN w:val="0"/>
        <w:adjustRightInd w:val="0"/>
        <w:spacing w:line="300" w:lineRule="auto"/>
        <w:ind w:firstLineChars="200" w:firstLine="420"/>
        <w:jc w:val="right"/>
        <w:rPr>
          <w:rFonts w:asciiTheme="minorEastAsia" w:hAnsiTheme="minorEastAsia"/>
          <w:szCs w:val="21"/>
        </w:rPr>
      </w:pPr>
      <w:r w:rsidRPr="00124A9C">
        <w:rPr>
          <w:rFonts w:asciiTheme="minorEastAsia" w:hAnsiTheme="minorEastAsia" w:cs="FZLTHK--GBK1-0" w:hint="eastAsia"/>
          <w:kern w:val="0"/>
          <w:szCs w:val="21"/>
        </w:rPr>
        <w:t>商务部《</w:t>
      </w:r>
      <w:r w:rsidRPr="00124A9C">
        <w:rPr>
          <w:rFonts w:asciiTheme="minorEastAsia" w:hAnsiTheme="minorEastAsia" w:cs="FZLTHK--GBK1-0"/>
          <w:kern w:val="0"/>
          <w:szCs w:val="21"/>
        </w:rPr>
        <w:t>WTO</w:t>
      </w:r>
      <w:r w:rsidRPr="00124A9C">
        <w:rPr>
          <w:rFonts w:asciiTheme="minorEastAsia" w:hAnsiTheme="minorEastAsia" w:cs="FZLTHK--GBK1-0" w:hint="eastAsia"/>
          <w:kern w:val="0"/>
          <w:szCs w:val="21"/>
        </w:rPr>
        <w:t>经济导刊》社长</w:t>
      </w:r>
      <w:r w:rsidRPr="00124A9C">
        <w:rPr>
          <w:rFonts w:asciiTheme="minorEastAsia" w:hAnsiTheme="minorEastAsia" w:cs="FZLTHK--GBK1-0"/>
          <w:kern w:val="0"/>
          <w:szCs w:val="21"/>
        </w:rPr>
        <w:t>/</w:t>
      </w:r>
      <w:r w:rsidRPr="00124A9C">
        <w:rPr>
          <w:rFonts w:asciiTheme="minorEastAsia" w:hAnsiTheme="minorEastAsia" w:cs="FZLTHK--GBK1-0" w:hint="eastAsia"/>
          <w:kern w:val="0"/>
          <w:szCs w:val="21"/>
        </w:rPr>
        <w:t>主编</w:t>
      </w: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32" w:name="_Toc458770067"/>
      <w:r w:rsidRPr="00124A9C">
        <w:rPr>
          <w:rFonts w:asciiTheme="minorEastAsia" w:hAnsiTheme="minorEastAsia" w:cs="Times New Roman" w:hint="eastAsia"/>
          <w:b/>
          <w:kern w:val="44"/>
          <w:sz w:val="32"/>
          <w:szCs w:val="32"/>
        </w:rPr>
        <w:t>报告指标索引</w:t>
      </w:r>
      <w:bookmarkEnd w:id="32"/>
    </w:p>
    <w:p w:rsidR="00124A9C" w:rsidRDefault="00124A9C" w:rsidP="00124A9C">
      <w:pPr>
        <w:pStyle w:val="10"/>
        <w:spacing w:line="300" w:lineRule="auto"/>
        <w:rPr>
          <w:rFonts w:asciiTheme="minorEastAsia" w:hAnsiTheme="minorEastAsia"/>
          <w:szCs w:val="21"/>
        </w:rPr>
      </w:pPr>
      <w:r>
        <w:rPr>
          <w:noProof/>
        </w:rPr>
        <w:drawing>
          <wp:inline distT="0" distB="0" distL="0" distR="0">
            <wp:extent cx="4991100" cy="5305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4991100" cy="5305425"/>
                    </a:xfrm>
                    <a:prstGeom prst="rect">
                      <a:avLst/>
                    </a:prstGeom>
                  </pic:spPr>
                </pic:pic>
              </a:graphicData>
            </a:graphic>
          </wp:inline>
        </w:drawing>
      </w:r>
    </w:p>
    <w:p w:rsidR="00124A9C" w:rsidRPr="00124A9C" w:rsidRDefault="00124A9C" w:rsidP="001557A9">
      <w:pPr>
        <w:keepNext/>
        <w:keepLines/>
        <w:numPr>
          <w:ilvl w:val="0"/>
          <w:numId w:val="2"/>
        </w:numPr>
        <w:adjustRightInd w:val="0"/>
        <w:snapToGrid w:val="0"/>
        <w:spacing w:beforeLines="50" w:line="360" w:lineRule="auto"/>
        <w:outlineLvl w:val="0"/>
        <w:rPr>
          <w:rFonts w:asciiTheme="minorEastAsia" w:hAnsiTheme="minorEastAsia" w:cs="Times New Roman"/>
          <w:b/>
          <w:kern w:val="44"/>
          <w:sz w:val="32"/>
          <w:szCs w:val="32"/>
        </w:rPr>
      </w:pPr>
      <w:bookmarkStart w:id="33" w:name="_Toc458770068"/>
      <w:r w:rsidRPr="00124A9C">
        <w:rPr>
          <w:rFonts w:asciiTheme="minorEastAsia" w:hAnsiTheme="minorEastAsia" w:cs="Times New Roman" w:hint="eastAsia"/>
          <w:b/>
          <w:kern w:val="44"/>
          <w:sz w:val="32"/>
          <w:szCs w:val="32"/>
        </w:rPr>
        <w:lastRenderedPageBreak/>
        <w:t>意见反馈表</w:t>
      </w:r>
      <w:bookmarkEnd w:id="33"/>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为了改进利民股份社会责任工作，我们希望得到您的反馈，这将成为我们改善和提高社会责任报告质量的重要依据。请将反馈意见邮寄至江苏省新沂市利民化工股份有限公司行政楼三楼董事会办公室。</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您认为报告总体上：</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□很好□较好□一般□较差□很差</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您认为报告在结构上：</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□很合理□较合理□一般□较差□很差</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您认为报告的可读性：</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□很高□较高□一般□较差□很差</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您认为报告的版式设计是否有助于您的阅读：</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□很好□较好□一般□较差□很差</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您认为报告披露的社会责任信息：</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□很有价值□价值较高□一般□价值较低□没什么价值</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您对报告中哪一部分最感兴趣：</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您想进一步了解的信息：</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w:t>
      </w:r>
    </w:p>
    <w:p w:rsidR="00124A9C" w:rsidRPr="00124A9C" w:rsidRDefault="00124A9C" w:rsidP="00124A9C">
      <w:pPr>
        <w:pStyle w:val="10"/>
        <w:spacing w:line="300" w:lineRule="auto"/>
        <w:rPr>
          <w:rFonts w:asciiTheme="minorEastAsia" w:hAnsiTheme="minorEastAsia"/>
          <w:szCs w:val="21"/>
        </w:rPr>
      </w:pPr>
      <w:r w:rsidRPr="00124A9C">
        <w:rPr>
          <w:rFonts w:asciiTheme="minorEastAsia" w:hAnsiTheme="minorEastAsia" w:hint="eastAsia"/>
          <w:szCs w:val="21"/>
        </w:rPr>
        <w:t>您对利民股份社会责任工作的意见和建议，请在此提出：</w:t>
      </w:r>
    </w:p>
    <w:sectPr w:rsidR="00124A9C" w:rsidRPr="00124A9C" w:rsidSect="00124A9C">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71" w:rsidRDefault="00E83771" w:rsidP="00E82D09">
      <w:r>
        <w:separator/>
      </w:r>
    </w:p>
  </w:endnote>
  <w:endnote w:type="continuationSeparator" w:id="0">
    <w:p w:rsidR="00E83771" w:rsidRDefault="00E83771" w:rsidP="00E82D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FZLTHK--GBK1-0">
    <w:altName w:val="等线"/>
    <w:panose1 w:val="00000000000000000000"/>
    <w:charset w:val="86"/>
    <w:family w:val="auto"/>
    <w:notTrueType/>
    <w:pitch w:val="default"/>
    <w:sig w:usb0="00000001" w:usb1="080E0000" w:usb2="00000010" w:usb3="00000000" w:csb0="00040000" w:csb1="00000000"/>
  </w:font>
  <w:font w:name="AdobeSongStd-Light">
    <w:altName w:val="方正仿宋简体"/>
    <w:panose1 w:val="00000000000000000000"/>
    <w:charset w:val="86"/>
    <w:family w:val="auto"/>
    <w:notTrueType/>
    <w:pitch w:val="default"/>
    <w:sig w:usb0="00000001" w:usb1="080E0000" w:usb2="00000010" w:usb3="00000000" w:csb0="00040000" w:csb1="00000000"/>
  </w:font>
  <w:font w:name="FZLTZHK--GBK1-0">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72267"/>
      <w:docPartObj>
        <w:docPartGallery w:val="Page Numbers (Bottom of Page)"/>
        <w:docPartUnique/>
      </w:docPartObj>
    </w:sdtPr>
    <w:sdtContent>
      <w:sdt>
        <w:sdtPr>
          <w:id w:val="98381352"/>
          <w:docPartObj>
            <w:docPartGallery w:val="Page Numbers (Top of Page)"/>
            <w:docPartUnique/>
          </w:docPartObj>
        </w:sdtPr>
        <w:sdtContent>
          <w:p w:rsidR="00AA532C" w:rsidRDefault="00AA532C">
            <w:pPr>
              <w:pStyle w:val="a4"/>
            </w:pPr>
            <w:r>
              <w:rPr>
                <w:lang w:val="zh-CN"/>
              </w:rPr>
              <w:t xml:space="preserve"> </w:t>
            </w:r>
            <w:r w:rsidR="00176EE6">
              <w:rPr>
                <w:b/>
                <w:bCs/>
                <w:sz w:val="24"/>
                <w:szCs w:val="24"/>
              </w:rPr>
              <w:fldChar w:fldCharType="begin"/>
            </w:r>
            <w:r>
              <w:rPr>
                <w:b/>
                <w:bCs/>
              </w:rPr>
              <w:instrText>PAGE</w:instrText>
            </w:r>
            <w:r w:rsidR="00176EE6">
              <w:rPr>
                <w:b/>
                <w:bCs/>
                <w:sz w:val="24"/>
                <w:szCs w:val="24"/>
              </w:rPr>
              <w:fldChar w:fldCharType="separate"/>
            </w:r>
            <w:r w:rsidR="0054007F">
              <w:rPr>
                <w:b/>
                <w:bCs/>
                <w:noProof/>
              </w:rPr>
              <w:t>6</w:t>
            </w:r>
            <w:r w:rsidR="00176EE6">
              <w:rPr>
                <w:b/>
                <w:bCs/>
                <w:sz w:val="24"/>
                <w:szCs w:val="24"/>
              </w:rPr>
              <w:fldChar w:fldCharType="end"/>
            </w:r>
            <w:r>
              <w:rPr>
                <w:lang w:val="zh-CN"/>
              </w:rPr>
              <w:t xml:space="preserve"> / </w:t>
            </w:r>
            <w:r w:rsidR="00176EE6">
              <w:rPr>
                <w:b/>
                <w:bCs/>
                <w:sz w:val="24"/>
                <w:szCs w:val="24"/>
              </w:rPr>
              <w:fldChar w:fldCharType="begin"/>
            </w:r>
            <w:r>
              <w:rPr>
                <w:b/>
                <w:bCs/>
              </w:rPr>
              <w:instrText>NUMPAGES</w:instrText>
            </w:r>
            <w:r w:rsidR="00176EE6">
              <w:rPr>
                <w:b/>
                <w:bCs/>
                <w:sz w:val="24"/>
                <w:szCs w:val="24"/>
              </w:rPr>
              <w:fldChar w:fldCharType="separate"/>
            </w:r>
            <w:r w:rsidR="0054007F">
              <w:rPr>
                <w:b/>
                <w:bCs/>
                <w:noProof/>
              </w:rPr>
              <w:t>33</w:t>
            </w:r>
            <w:r w:rsidR="00176EE6">
              <w:rPr>
                <w:b/>
                <w:bCs/>
                <w:sz w:val="24"/>
                <w:szCs w:val="24"/>
              </w:rPr>
              <w:fldChar w:fldCharType="end"/>
            </w:r>
          </w:p>
        </w:sdtContent>
      </w:sdt>
    </w:sdtContent>
  </w:sdt>
  <w:p w:rsidR="00F65398" w:rsidRDefault="00F653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71" w:rsidRDefault="00E83771" w:rsidP="00E82D09">
      <w:r>
        <w:separator/>
      </w:r>
    </w:p>
  </w:footnote>
  <w:footnote w:type="continuationSeparator" w:id="0">
    <w:p w:rsidR="00E83771" w:rsidRDefault="00E83771" w:rsidP="00E82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806"/>
    <w:multiLevelType w:val="hybridMultilevel"/>
    <w:tmpl w:val="E0108B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C93F47"/>
    <w:multiLevelType w:val="hybridMultilevel"/>
    <w:tmpl w:val="380E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1D7E6B"/>
    <w:multiLevelType w:val="hybridMultilevel"/>
    <w:tmpl w:val="594C1D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71B76C1"/>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abstractNum w:abstractNumId="4">
    <w:nsid w:val="55F265F6"/>
    <w:multiLevelType w:val="hybridMultilevel"/>
    <w:tmpl w:val="CDF6DFD2"/>
    <w:lvl w:ilvl="0" w:tplc="19A05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22D617"/>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abstractNum w:abstractNumId="6">
    <w:nsid w:val="59085424"/>
    <w:multiLevelType w:val="hybridMultilevel"/>
    <w:tmpl w:val="723E21FC"/>
    <w:lvl w:ilvl="0" w:tplc="19A0593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D91C7E"/>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abstractNum w:abstractNumId="8">
    <w:nsid w:val="5F6C7CF8"/>
    <w:multiLevelType w:val="multilevel"/>
    <w:tmpl w:val="5F6C7CF8"/>
    <w:lvl w:ilvl="0">
      <w:start w:val="1"/>
      <w:numFmt w:val="decimal"/>
      <w:lvlText w:val="%1."/>
      <w:lvlJc w:val="left"/>
      <w:pPr>
        <w:ind w:left="1266" w:hanging="420"/>
      </w:p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9">
    <w:nsid w:val="61606103"/>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abstractNum w:abstractNumId="10">
    <w:nsid w:val="67DF14E2"/>
    <w:multiLevelType w:val="hybridMultilevel"/>
    <w:tmpl w:val="B810D19E"/>
    <w:lvl w:ilvl="0" w:tplc="19A05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1F40AF"/>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abstractNum w:abstractNumId="12">
    <w:nsid w:val="7B274BD0"/>
    <w:multiLevelType w:val="multilevel"/>
    <w:tmpl w:val="5722D617"/>
    <w:lvl w:ilvl="0">
      <w:start w:val="1"/>
      <w:numFmt w:val="decimal"/>
      <w:lvlText w:val="%1."/>
      <w:lvlJc w:val="left"/>
      <w:pPr>
        <w:ind w:left="425" w:hanging="425"/>
      </w:pPr>
      <w:rPr>
        <w:rFonts w:cs="Times New Roman"/>
      </w:rPr>
    </w:lvl>
    <w:lvl w:ilvl="1">
      <w:start w:val="1"/>
      <w:numFmt w:val="decimal"/>
      <w:lvlText w:val="%1.%2."/>
      <w:lvlJc w:val="left"/>
      <w:pPr>
        <w:ind w:left="709" w:hanging="567"/>
      </w:pPr>
      <w:rPr>
        <w:rFonts w:cs="Times New Roman"/>
        <w:sz w:val="28"/>
      </w:rPr>
    </w:lvl>
    <w:lvl w:ilvl="2">
      <w:start w:val="1"/>
      <w:numFmt w:val="decimal"/>
      <w:lvlText w:val="%1.%2.%3."/>
      <w:lvlJc w:val="left"/>
      <w:pPr>
        <w:ind w:left="851" w:hanging="709"/>
      </w:pPr>
      <w:rPr>
        <w:rFonts w:cs="Times New Roman"/>
      </w:rPr>
    </w:lvl>
    <w:lvl w:ilvl="3">
      <w:start w:val="1"/>
      <w:numFmt w:val="decimal"/>
      <w:lvlText w:val="%1.%2.%3.%4."/>
      <w:lvlJc w:val="left"/>
      <w:pPr>
        <w:ind w:left="816" w:hanging="851"/>
      </w:pPr>
      <w:rPr>
        <w:rFonts w:cs="Times New Roman"/>
      </w:rPr>
    </w:lvl>
    <w:lvl w:ilvl="4">
      <w:start w:val="1"/>
      <w:numFmt w:val="decimal"/>
      <w:lvlText w:val="%1.%2.%3.%4.%5."/>
      <w:lvlJc w:val="left"/>
      <w:pPr>
        <w:ind w:left="957" w:hanging="992"/>
      </w:pPr>
      <w:rPr>
        <w:rFonts w:cs="Times New Roman"/>
      </w:rPr>
    </w:lvl>
    <w:lvl w:ilvl="5">
      <w:start w:val="1"/>
      <w:numFmt w:val="decimal"/>
      <w:lvlText w:val="%1.%2.%3.%4.%5.%6."/>
      <w:lvlJc w:val="left"/>
      <w:pPr>
        <w:ind w:left="1099" w:hanging="1134"/>
      </w:pPr>
      <w:rPr>
        <w:rFonts w:cs="Times New Roman"/>
      </w:rPr>
    </w:lvl>
    <w:lvl w:ilvl="6">
      <w:start w:val="1"/>
      <w:numFmt w:val="decimal"/>
      <w:lvlText w:val="%1.%2.%3.%4.%5.%6.%7."/>
      <w:lvlJc w:val="left"/>
      <w:pPr>
        <w:ind w:left="1241" w:hanging="1276"/>
      </w:pPr>
      <w:rPr>
        <w:rFonts w:cs="Times New Roman"/>
      </w:rPr>
    </w:lvl>
    <w:lvl w:ilvl="7">
      <w:start w:val="1"/>
      <w:numFmt w:val="decimal"/>
      <w:lvlText w:val="%1.%2.%3.%4.%5.%6.%7.%8."/>
      <w:lvlJc w:val="left"/>
      <w:pPr>
        <w:ind w:left="1383" w:hanging="1418"/>
      </w:pPr>
      <w:rPr>
        <w:rFonts w:cs="Times New Roman"/>
      </w:rPr>
    </w:lvl>
    <w:lvl w:ilvl="8">
      <w:start w:val="1"/>
      <w:numFmt w:val="decimal"/>
      <w:lvlText w:val="%1.%2.%3.%4.%5.%6.%7.%8.%9."/>
      <w:lvlJc w:val="left"/>
      <w:pPr>
        <w:ind w:left="1524" w:hanging="1559"/>
      </w:pPr>
      <w:rPr>
        <w:rFonts w:cs="Times New Roman"/>
      </w:rPr>
    </w:lvl>
  </w:abstractNum>
  <w:num w:numId="1">
    <w:abstractNumId w:val="8"/>
  </w:num>
  <w:num w:numId="2">
    <w:abstractNumId w:val="5"/>
  </w:num>
  <w:num w:numId="3">
    <w:abstractNumId w:val="0"/>
  </w:num>
  <w:num w:numId="4">
    <w:abstractNumId w:val="6"/>
  </w:num>
  <w:num w:numId="5">
    <w:abstractNumId w:val="10"/>
  </w:num>
  <w:num w:numId="6">
    <w:abstractNumId w:val="4"/>
  </w:num>
  <w:num w:numId="7">
    <w:abstractNumId w:val="2"/>
  </w:num>
  <w:num w:numId="8">
    <w:abstractNumId w:val="1"/>
  </w:num>
  <w:num w:numId="9">
    <w:abstractNumId w:val="9"/>
  </w:num>
  <w:num w:numId="10">
    <w:abstractNumId w:val="3"/>
  </w:num>
  <w:num w:numId="11">
    <w:abstractNumId w:val="11"/>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112"/>
    <w:rsid w:val="00124A9C"/>
    <w:rsid w:val="001557A9"/>
    <w:rsid w:val="00176EE6"/>
    <w:rsid w:val="001905C5"/>
    <w:rsid w:val="001A0CF4"/>
    <w:rsid w:val="00347902"/>
    <w:rsid w:val="00401112"/>
    <w:rsid w:val="00437A42"/>
    <w:rsid w:val="004D4C14"/>
    <w:rsid w:val="0054007F"/>
    <w:rsid w:val="007D1826"/>
    <w:rsid w:val="00950C8E"/>
    <w:rsid w:val="00AA532C"/>
    <w:rsid w:val="00BE360D"/>
    <w:rsid w:val="00BF2E51"/>
    <w:rsid w:val="00DA0DEB"/>
    <w:rsid w:val="00E47B4D"/>
    <w:rsid w:val="00E82D09"/>
    <w:rsid w:val="00E83771"/>
    <w:rsid w:val="00EB72FC"/>
    <w:rsid w:val="00F65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09"/>
    <w:pPr>
      <w:widowControl w:val="0"/>
      <w:jc w:val="both"/>
    </w:pPr>
  </w:style>
  <w:style w:type="paragraph" w:styleId="1">
    <w:name w:val="heading 1"/>
    <w:basedOn w:val="a"/>
    <w:next w:val="a"/>
    <w:link w:val="1Char"/>
    <w:uiPriority w:val="9"/>
    <w:qFormat/>
    <w:rsid w:val="00124A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D09"/>
    <w:rPr>
      <w:sz w:val="18"/>
      <w:szCs w:val="18"/>
    </w:rPr>
  </w:style>
  <w:style w:type="paragraph" w:styleId="a4">
    <w:name w:val="footer"/>
    <w:basedOn w:val="a"/>
    <w:link w:val="Char0"/>
    <w:uiPriority w:val="99"/>
    <w:unhideWhenUsed/>
    <w:rsid w:val="00E8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E82D09"/>
    <w:rPr>
      <w:sz w:val="18"/>
      <w:szCs w:val="18"/>
    </w:rPr>
  </w:style>
  <w:style w:type="paragraph" w:styleId="a5">
    <w:name w:val="annotation text"/>
    <w:basedOn w:val="a"/>
    <w:link w:val="Char1"/>
    <w:uiPriority w:val="99"/>
    <w:unhideWhenUsed/>
    <w:rsid w:val="00E82D09"/>
    <w:pPr>
      <w:jc w:val="left"/>
    </w:pPr>
  </w:style>
  <w:style w:type="character" w:customStyle="1" w:styleId="Char1">
    <w:name w:val="批注文字 Char"/>
    <w:basedOn w:val="a0"/>
    <w:link w:val="a5"/>
    <w:uiPriority w:val="99"/>
    <w:rsid w:val="00E82D09"/>
  </w:style>
  <w:style w:type="character" w:styleId="a6">
    <w:name w:val="annotation reference"/>
    <w:basedOn w:val="a0"/>
    <w:uiPriority w:val="99"/>
    <w:unhideWhenUsed/>
    <w:rsid w:val="00E82D09"/>
    <w:rPr>
      <w:sz w:val="21"/>
      <w:szCs w:val="21"/>
    </w:rPr>
  </w:style>
  <w:style w:type="paragraph" w:customStyle="1" w:styleId="A7">
    <w:name w:val="正文 A"/>
    <w:rsid w:val="00E82D09"/>
    <w:pPr>
      <w:widowControl w:val="0"/>
      <w:jc w:val="both"/>
    </w:pPr>
    <w:rPr>
      <w:rFonts w:ascii="Times New Roman" w:eastAsia="Times New Roman" w:hAnsi="Times New Roman" w:cs="Times New Roman"/>
      <w:color w:val="000000"/>
      <w:szCs w:val="21"/>
      <w:u w:color="000000"/>
    </w:rPr>
  </w:style>
  <w:style w:type="character" w:customStyle="1" w:styleId="A8">
    <w:name w:val="无 A"/>
    <w:rsid w:val="00E82D09"/>
  </w:style>
  <w:style w:type="paragraph" w:styleId="a9">
    <w:name w:val="Balloon Text"/>
    <w:basedOn w:val="a"/>
    <w:link w:val="Char2"/>
    <w:uiPriority w:val="99"/>
    <w:semiHidden/>
    <w:unhideWhenUsed/>
    <w:rsid w:val="00E82D09"/>
    <w:rPr>
      <w:sz w:val="18"/>
      <w:szCs w:val="18"/>
    </w:rPr>
  </w:style>
  <w:style w:type="character" w:customStyle="1" w:styleId="Char2">
    <w:name w:val="批注框文本 Char"/>
    <w:basedOn w:val="a0"/>
    <w:link w:val="a9"/>
    <w:uiPriority w:val="99"/>
    <w:semiHidden/>
    <w:rsid w:val="00E82D09"/>
    <w:rPr>
      <w:sz w:val="18"/>
      <w:szCs w:val="18"/>
    </w:rPr>
  </w:style>
  <w:style w:type="paragraph" w:customStyle="1" w:styleId="10">
    <w:name w:val="列出段落1"/>
    <w:basedOn w:val="a"/>
    <w:uiPriority w:val="99"/>
    <w:qFormat/>
    <w:rsid w:val="00E82D09"/>
    <w:pPr>
      <w:ind w:firstLineChars="200" w:firstLine="420"/>
    </w:pPr>
  </w:style>
  <w:style w:type="paragraph" w:styleId="aa">
    <w:name w:val="List Paragraph"/>
    <w:basedOn w:val="a"/>
    <w:uiPriority w:val="34"/>
    <w:qFormat/>
    <w:rsid w:val="00124A9C"/>
    <w:pPr>
      <w:ind w:firstLineChars="200" w:firstLine="420"/>
    </w:pPr>
  </w:style>
  <w:style w:type="character" w:customStyle="1" w:styleId="1Char">
    <w:name w:val="标题 1 Char"/>
    <w:basedOn w:val="a0"/>
    <w:link w:val="1"/>
    <w:uiPriority w:val="9"/>
    <w:rsid w:val="00124A9C"/>
    <w:rPr>
      <w:b/>
      <w:bCs/>
      <w:kern w:val="44"/>
      <w:sz w:val="44"/>
      <w:szCs w:val="44"/>
    </w:rPr>
  </w:style>
  <w:style w:type="table" w:styleId="ab">
    <w:name w:val="Table Grid"/>
    <w:basedOn w:val="a1"/>
    <w:uiPriority w:val="39"/>
    <w:rsid w:val="0012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124A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124A9C"/>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124A9C"/>
    <w:pPr>
      <w:widowControl/>
      <w:spacing w:after="100" w:line="276" w:lineRule="auto"/>
      <w:jc w:val="left"/>
    </w:pPr>
    <w:rPr>
      <w:kern w:val="0"/>
      <w:sz w:val="22"/>
    </w:rPr>
  </w:style>
  <w:style w:type="paragraph" w:styleId="3">
    <w:name w:val="toc 3"/>
    <w:basedOn w:val="a"/>
    <w:next w:val="a"/>
    <w:autoRedefine/>
    <w:uiPriority w:val="39"/>
    <w:semiHidden/>
    <w:unhideWhenUsed/>
    <w:qFormat/>
    <w:rsid w:val="00124A9C"/>
    <w:pPr>
      <w:widowControl/>
      <w:spacing w:after="100" w:line="276" w:lineRule="auto"/>
      <w:ind w:left="440"/>
      <w:jc w:val="left"/>
    </w:pPr>
    <w:rPr>
      <w:kern w:val="0"/>
      <w:sz w:val="22"/>
    </w:rPr>
  </w:style>
  <w:style w:type="character" w:styleId="ac">
    <w:name w:val="Hyperlink"/>
    <w:basedOn w:val="a0"/>
    <w:uiPriority w:val="99"/>
    <w:unhideWhenUsed/>
    <w:rsid w:val="00124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09"/>
    <w:pPr>
      <w:widowControl w:val="0"/>
      <w:jc w:val="both"/>
    </w:pPr>
  </w:style>
  <w:style w:type="paragraph" w:styleId="1">
    <w:name w:val="heading 1"/>
    <w:basedOn w:val="a"/>
    <w:next w:val="a"/>
    <w:link w:val="1Char"/>
    <w:uiPriority w:val="9"/>
    <w:qFormat/>
    <w:rsid w:val="00124A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D09"/>
    <w:rPr>
      <w:sz w:val="18"/>
      <w:szCs w:val="18"/>
    </w:rPr>
  </w:style>
  <w:style w:type="paragraph" w:styleId="a4">
    <w:name w:val="footer"/>
    <w:basedOn w:val="a"/>
    <w:link w:val="Char0"/>
    <w:uiPriority w:val="99"/>
    <w:unhideWhenUsed/>
    <w:rsid w:val="00E8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E82D09"/>
    <w:rPr>
      <w:sz w:val="18"/>
      <w:szCs w:val="18"/>
    </w:rPr>
  </w:style>
  <w:style w:type="paragraph" w:styleId="a5">
    <w:name w:val="annotation text"/>
    <w:basedOn w:val="a"/>
    <w:link w:val="Char1"/>
    <w:uiPriority w:val="99"/>
    <w:unhideWhenUsed/>
    <w:rsid w:val="00E82D09"/>
    <w:pPr>
      <w:jc w:val="left"/>
    </w:pPr>
  </w:style>
  <w:style w:type="character" w:customStyle="1" w:styleId="Char1">
    <w:name w:val="批注文字 Char"/>
    <w:basedOn w:val="a0"/>
    <w:link w:val="a5"/>
    <w:uiPriority w:val="99"/>
    <w:rsid w:val="00E82D09"/>
  </w:style>
  <w:style w:type="character" w:styleId="a6">
    <w:name w:val="annotation reference"/>
    <w:basedOn w:val="a0"/>
    <w:uiPriority w:val="99"/>
    <w:unhideWhenUsed/>
    <w:rsid w:val="00E82D09"/>
    <w:rPr>
      <w:sz w:val="21"/>
      <w:szCs w:val="21"/>
    </w:rPr>
  </w:style>
  <w:style w:type="paragraph" w:customStyle="1" w:styleId="A7">
    <w:name w:val="正文 A"/>
    <w:rsid w:val="00E82D09"/>
    <w:pPr>
      <w:widowControl w:val="0"/>
      <w:jc w:val="both"/>
    </w:pPr>
    <w:rPr>
      <w:rFonts w:ascii="Times New Roman" w:eastAsia="Times New Roman" w:hAnsi="Times New Roman" w:cs="Times New Roman"/>
      <w:color w:val="000000"/>
      <w:szCs w:val="21"/>
      <w:u w:color="000000"/>
    </w:rPr>
  </w:style>
  <w:style w:type="character" w:customStyle="1" w:styleId="A8">
    <w:name w:val="无 A"/>
    <w:rsid w:val="00E82D09"/>
  </w:style>
  <w:style w:type="paragraph" w:styleId="a9">
    <w:name w:val="Balloon Text"/>
    <w:basedOn w:val="a"/>
    <w:link w:val="Char2"/>
    <w:uiPriority w:val="99"/>
    <w:semiHidden/>
    <w:unhideWhenUsed/>
    <w:rsid w:val="00E82D09"/>
    <w:rPr>
      <w:sz w:val="18"/>
      <w:szCs w:val="18"/>
    </w:rPr>
  </w:style>
  <w:style w:type="character" w:customStyle="1" w:styleId="Char2">
    <w:name w:val="批注框文本 Char"/>
    <w:basedOn w:val="a0"/>
    <w:link w:val="a9"/>
    <w:uiPriority w:val="99"/>
    <w:semiHidden/>
    <w:rsid w:val="00E82D09"/>
    <w:rPr>
      <w:sz w:val="18"/>
      <w:szCs w:val="18"/>
    </w:rPr>
  </w:style>
  <w:style w:type="paragraph" w:customStyle="1" w:styleId="10">
    <w:name w:val="列出段落1"/>
    <w:basedOn w:val="a"/>
    <w:uiPriority w:val="99"/>
    <w:qFormat/>
    <w:rsid w:val="00E82D09"/>
    <w:pPr>
      <w:ind w:firstLineChars="200" w:firstLine="420"/>
    </w:pPr>
  </w:style>
  <w:style w:type="paragraph" w:styleId="aa">
    <w:name w:val="List Paragraph"/>
    <w:basedOn w:val="a"/>
    <w:uiPriority w:val="34"/>
    <w:qFormat/>
    <w:rsid w:val="00124A9C"/>
    <w:pPr>
      <w:ind w:firstLineChars="200" w:firstLine="420"/>
    </w:pPr>
  </w:style>
  <w:style w:type="character" w:customStyle="1" w:styleId="1Char">
    <w:name w:val="标题 1 Char"/>
    <w:basedOn w:val="a0"/>
    <w:link w:val="1"/>
    <w:uiPriority w:val="9"/>
    <w:rsid w:val="00124A9C"/>
    <w:rPr>
      <w:b/>
      <w:bCs/>
      <w:kern w:val="44"/>
      <w:sz w:val="44"/>
      <w:szCs w:val="44"/>
    </w:rPr>
  </w:style>
  <w:style w:type="table" w:styleId="ab">
    <w:name w:val="Table Grid"/>
    <w:basedOn w:val="a1"/>
    <w:uiPriority w:val="39"/>
    <w:rsid w:val="0012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124A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124A9C"/>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124A9C"/>
    <w:pPr>
      <w:widowControl/>
      <w:spacing w:after="100" w:line="276" w:lineRule="auto"/>
      <w:jc w:val="left"/>
    </w:pPr>
    <w:rPr>
      <w:kern w:val="0"/>
      <w:sz w:val="22"/>
    </w:rPr>
  </w:style>
  <w:style w:type="paragraph" w:styleId="3">
    <w:name w:val="toc 3"/>
    <w:basedOn w:val="a"/>
    <w:next w:val="a"/>
    <w:autoRedefine/>
    <w:uiPriority w:val="39"/>
    <w:semiHidden/>
    <w:unhideWhenUsed/>
    <w:qFormat/>
    <w:rsid w:val="00124A9C"/>
    <w:pPr>
      <w:widowControl/>
      <w:spacing w:after="100" w:line="276" w:lineRule="auto"/>
      <w:ind w:left="440"/>
      <w:jc w:val="left"/>
    </w:pPr>
    <w:rPr>
      <w:kern w:val="0"/>
      <w:sz w:val="22"/>
    </w:rPr>
  </w:style>
  <w:style w:type="character" w:styleId="ac">
    <w:name w:val="Hyperlink"/>
    <w:basedOn w:val="a0"/>
    <w:uiPriority w:val="99"/>
    <w:unhideWhenUsed/>
    <w:rsid w:val="00124A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FDE9-B742-4A23-A88A-799512B8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2016-08-11T01:11:00Z</dcterms:created>
  <dcterms:modified xsi:type="dcterms:W3CDTF">2016-08-29T07:29:00Z</dcterms:modified>
</cp:coreProperties>
</file>